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16459" w14:textId="77777777" w:rsidR="00BF636A" w:rsidRPr="00A973AC" w:rsidRDefault="00BF636A" w:rsidP="00BF636A">
      <w:pPr>
        <w:pStyle w:val="Geenafstand"/>
        <w:spacing w:line="264" w:lineRule="auto"/>
        <w:jc w:val="center"/>
      </w:pPr>
      <w:r w:rsidRPr="00A973AC">
        <w:rPr>
          <w:noProof/>
        </w:rPr>
        <mc:AlternateContent>
          <mc:Choice Requires="wps">
            <w:drawing>
              <wp:anchor distT="0" distB="0" distL="114300" distR="114300" simplePos="0" relativeHeight="251659264" behindDoc="0" locked="0" layoutInCell="1" allowOverlap="1" wp14:anchorId="1C59DAE8" wp14:editId="3E2FAB42">
                <wp:simplePos x="0" y="0"/>
                <wp:positionH relativeFrom="margin">
                  <wp:align>left</wp:align>
                </wp:positionH>
                <wp:positionV relativeFrom="paragraph">
                  <wp:posOffset>-5867</wp:posOffset>
                </wp:positionV>
                <wp:extent cx="6025487" cy="6824"/>
                <wp:effectExtent l="0" t="0" r="33020" b="31750"/>
                <wp:wrapNone/>
                <wp:docPr id="2" name="Rechte verbindingslijn 2"/>
                <wp:cNvGraphicFramePr/>
                <a:graphic xmlns:a="http://schemas.openxmlformats.org/drawingml/2006/main">
                  <a:graphicData uri="http://schemas.microsoft.com/office/word/2010/wordprocessingShape">
                    <wps:wsp>
                      <wps:cNvCnPr/>
                      <wps:spPr>
                        <a:xfrm flipV="1">
                          <a:off x="0" y="0"/>
                          <a:ext cx="6025487" cy="6824"/>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C0653" id="Rechte verbindingslijn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7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" strokecolor="#00a9c1" strokeweight="1.25pt">
                <v:stroke joinstyle="miter"/>
                <w10:wrap anchorx="margin"/>
              </v:line>
            </w:pict>
          </mc:Fallback>
        </mc:AlternateContent>
      </w:r>
      <w:r w:rsidRPr="00A973AC">
        <w:rPr>
          <w:noProof/>
        </w:rPr>
        <w:drawing>
          <wp:inline distT="0" distB="0" distL="0" distR="0" wp14:anchorId="45C9C690" wp14:editId="68D35601">
            <wp:extent cx="2718000" cy="633600"/>
            <wp:effectExtent l="0" t="0" r="635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000" cy="633600"/>
                    </a:xfrm>
                    <a:prstGeom prst="rect">
                      <a:avLst/>
                    </a:prstGeom>
                    <a:noFill/>
                    <a:ln>
                      <a:noFill/>
                    </a:ln>
                  </pic:spPr>
                </pic:pic>
              </a:graphicData>
            </a:graphic>
          </wp:inline>
        </w:drawing>
      </w:r>
    </w:p>
    <w:p w14:paraId="64834E25" w14:textId="00AD6416" w:rsidR="00BF636A" w:rsidRPr="00A973AC" w:rsidRDefault="00BF636A" w:rsidP="524EF17D">
      <w:pPr>
        <w:pStyle w:val="Geenafstand"/>
        <w:spacing w:line="264" w:lineRule="auto"/>
        <w:jc w:val="center"/>
        <w:rPr>
          <w:color w:val="FF0000"/>
          <w:sz w:val="48"/>
          <w:szCs w:val="48"/>
        </w:rPr>
      </w:pPr>
      <w:r w:rsidRPr="00A973AC">
        <w:rPr>
          <w:noProof/>
        </w:rPr>
        <mc:AlternateContent>
          <mc:Choice Requires="wps">
            <w:drawing>
              <wp:anchor distT="0" distB="0" distL="114300" distR="114300" simplePos="0" relativeHeight="251660288" behindDoc="0" locked="0" layoutInCell="1" allowOverlap="1" wp14:anchorId="0E976073" wp14:editId="605BC775">
                <wp:simplePos x="0" y="0"/>
                <wp:positionH relativeFrom="margin">
                  <wp:align>left</wp:align>
                </wp:positionH>
                <wp:positionV relativeFrom="paragraph">
                  <wp:posOffset>424825</wp:posOffset>
                </wp:positionV>
                <wp:extent cx="6011838" cy="0"/>
                <wp:effectExtent l="0" t="0" r="0" b="0"/>
                <wp:wrapNone/>
                <wp:docPr id="5" name="Rechte verbindingslijn 5"/>
                <wp:cNvGraphicFramePr/>
                <a:graphic xmlns:a="http://schemas.openxmlformats.org/drawingml/2006/main">
                  <a:graphicData uri="http://schemas.microsoft.com/office/word/2010/wordprocessingShape">
                    <wps:wsp>
                      <wps:cNvCnPr/>
                      <wps:spPr>
                        <a:xfrm flipV="1">
                          <a:off x="0" y="0"/>
                          <a:ext cx="6011838" cy="0"/>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0C954" id="Rechte verbindingslijn 5"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45pt" to="473.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" strokecolor="#00a9c1" strokeweight="1.25pt">
                <v:stroke joinstyle="miter"/>
                <w10:wrap anchorx="margin"/>
              </v:line>
            </w:pict>
          </mc:Fallback>
        </mc:AlternateContent>
      </w:r>
      <w:r>
        <w:rPr>
          <w:sz w:val="48"/>
          <w:szCs w:val="48"/>
        </w:rPr>
        <w:t>Voorstel</w:t>
      </w:r>
      <w:r w:rsidR="00155336">
        <w:rPr>
          <w:sz w:val="48"/>
          <w:szCs w:val="48"/>
        </w:rPr>
        <w:t xml:space="preserve"> Algemeen Bestuur</w:t>
      </w:r>
    </w:p>
    <w:tbl>
      <w:tblPr>
        <w:tblStyle w:val="Tabelraster"/>
        <w:tblpPr w:leftFromText="141" w:rightFromText="141" w:vertAnchor="text" w:horzAnchor="margin" w:tblpY="114"/>
        <w:tblW w:w="9626" w:type="dxa"/>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950"/>
        <w:gridCol w:w="2936"/>
        <w:gridCol w:w="1840"/>
        <w:gridCol w:w="2900"/>
      </w:tblGrid>
      <w:tr w:rsidR="00101AAE" w14:paraId="0E1544B8" w14:textId="77777777" w:rsidTr="00D67769">
        <w:trPr>
          <w:trHeight w:val="426"/>
        </w:trPr>
        <w:tc>
          <w:tcPr>
            <w:tcW w:w="1950" w:type="dxa"/>
          </w:tcPr>
          <w:p w14:paraId="074CEC25" w14:textId="77777777" w:rsidR="00101AAE" w:rsidRPr="00BF0F0E" w:rsidRDefault="00101AAE" w:rsidP="00BF636A">
            <w:pPr>
              <w:spacing w:line="264" w:lineRule="auto"/>
              <w:jc w:val="both"/>
              <w:rPr>
                <w:color w:val="00A9C1"/>
              </w:rPr>
            </w:pPr>
            <w:r w:rsidRPr="00BF0F0E">
              <w:rPr>
                <w:color w:val="00A9C1"/>
              </w:rPr>
              <w:t>Sector/afdeling</w:t>
            </w:r>
          </w:p>
        </w:tc>
        <w:tc>
          <w:tcPr>
            <w:tcW w:w="2936" w:type="dxa"/>
          </w:tcPr>
          <w:p w14:paraId="2D0BF8E5" w14:textId="39743087" w:rsidR="00101AAE" w:rsidRDefault="00CF25A8" w:rsidP="00CF25A8">
            <w:pPr>
              <w:spacing w:line="264" w:lineRule="auto"/>
              <w:jc w:val="both"/>
            </w:pPr>
            <w:r w:rsidRPr="00CF25A8">
              <w:rPr>
                <w:rStyle w:val="Tekstvantijdelijkeaanduiding"/>
                <w:color w:val="auto"/>
              </w:rPr>
              <w:t>WBL</w:t>
            </w:r>
          </w:p>
        </w:tc>
        <w:tc>
          <w:tcPr>
            <w:tcW w:w="1840" w:type="dxa"/>
          </w:tcPr>
          <w:p w14:paraId="3F583E89" w14:textId="77777777" w:rsidR="00101AAE" w:rsidRPr="00BF0F0E" w:rsidRDefault="00101AAE" w:rsidP="00BF636A">
            <w:pPr>
              <w:spacing w:line="264" w:lineRule="auto"/>
              <w:jc w:val="both"/>
              <w:rPr>
                <w:color w:val="00A9C1"/>
              </w:rPr>
            </w:pPr>
            <w:r w:rsidRPr="00BF0F0E">
              <w:rPr>
                <w:color w:val="00A9C1"/>
              </w:rPr>
              <w:t>ID-nummer</w:t>
            </w:r>
          </w:p>
        </w:tc>
        <w:tc>
          <w:tcPr>
            <w:tcW w:w="2900" w:type="dxa"/>
          </w:tcPr>
          <w:p w14:paraId="3763E357" w14:textId="6A2E7F30" w:rsidR="00101AAE" w:rsidRDefault="00E841EC" w:rsidP="00BF636A">
            <w:pPr>
              <w:spacing w:line="264" w:lineRule="auto"/>
              <w:jc w:val="both"/>
            </w:pPr>
            <w:r w:rsidRPr="00E841EC">
              <w:t>WBL-1581137097-1724</w:t>
            </w:r>
          </w:p>
        </w:tc>
      </w:tr>
      <w:tr w:rsidR="00101AAE" w14:paraId="7D365D7D" w14:textId="77777777" w:rsidTr="00D67769">
        <w:trPr>
          <w:trHeight w:val="470"/>
        </w:trPr>
        <w:tc>
          <w:tcPr>
            <w:tcW w:w="1950" w:type="dxa"/>
          </w:tcPr>
          <w:p w14:paraId="60F9FE97" w14:textId="77777777" w:rsidR="00101AAE" w:rsidRPr="00BF0F0E" w:rsidRDefault="00101AAE" w:rsidP="00BF636A">
            <w:pPr>
              <w:spacing w:line="264" w:lineRule="auto"/>
              <w:jc w:val="both"/>
              <w:rPr>
                <w:color w:val="00A9C1"/>
              </w:rPr>
            </w:pPr>
            <w:r w:rsidRPr="00BF0F0E">
              <w:rPr>
                <w:color w:val="00A9C1"/>
              </w:rPr>
              <w:t>Indiener</w:t>
            </w:r>
          </w:p>
        </w:tc>
        <w:tc>
          <w:tcPr>
            <w:tcW w:w="2936" w:type="dxa"/>
          </w:tcPr>
          <w:p w14:paraId="71A8C616" w14:textId="65E26077" w:rsidR="00101AAE" w:rsidRDefault="00CF25A8" w:rsidP="00BF636A">
            <w:pPr>
              <w:spacing w:line="264" w:lineRule="auto"/>
              <w:jc w:val="both"/>
            </w:pPr>
            <w:r>
              <w:t>Directie Team</w:t>
            </w:r>
            <w:r w:rsidR="004143DD">
              <w:tab/>
            </w:r>
          </w:p>
        </w:tc>
        <w:tc>
          <w:tcPr>
            <w:tcW w:w="1840" w:type="dxa"/>
          </w:tcPr>
          <w:p w14:paraId="72C43506" w14:textId="77777777" w:rsidR="00101AAE" w:rsidRPr="00BF0F0E" w:rsidRDefault="00101AAE" w:rsidP="00BF636A">
            <w:pPr>
              <w:spacing w:line="264" w:lineRule="auto"/>
              <w:jc w:val="both"/>
              <w:rPr>
                <w:color w:val="00A9C1"/>
              </w:rPr>
            </w:pPr>
            <w:r w:rsidRPr="00BF0F0E">
              <w:rPr>
                <w:color w:val="00A9C1"/>
              </w:rPr>
              <w:t>Portefeuillehouder</w:t>
            </w:r>
          </w:p>
        </w:tc>
        <w:tc>
          <w:tcPr>
            <w:tcW w:w="2900" w:type="dxa"/>
          </w:tcPr>
          <w:p w14:paraId="6C330AE8" w14:textId="2D4641DC" w:rsidR="00101AAE" w:rsidRDefault="00FA41EA" w:rsidP="00FA41EA">
            <w:pPr>
              <w:spacing w:line="264" w:lineRule="auto"/>
            </w:pPr>
            <w:r>
              <w:t xml:space="preserve">Leden van het Dagelijks Bestuur </w:t>
            </w:r>
          </w:p>
        </w:tc>
      </w:tr>
      <w:tr w:rsidR="00D67769" w14:paraId="7305CD73" w14:textId="77777777" w:rsidTr="00D67769">
        <w:trPr>
          <w:trHeight w:val="392"/>
        </w:trPr>
        <w:tc>
          <w:tcPr>
            <w:tcW w:w="1950" w:type="dxa"/>
          </w:tcPr>
          <w:p w14:paraId="29AD8450" w14:textId="77777777" w:rsidR="00D67769" w:rsidRPr="00BF0F0E" w:rsidRDefault="00D67769" w:rsidP="00D67769">
            <w:pPr>
              <w:spacing w:line="264" w:lineRule="auto"/>
              <w:jc w:val="both"/>
              <w:rPr>
                <w:color w:val="00A9C1"/>
              </w:rPr>
            </w:pPr>
            <w:r w:rsidRPr="00BF0F0E">
              <w:rPr>
                <w:color w:val="00A9C1"/>
              </w:rPr>
              <w:t>Onderwerp</w:t>
            </w:r>
          </w:p>
        </w:tc>
        <w:tc>
          <w:tcPr>
            <w:tcW w:w="7676" w:type="dxa"/>
            <w:gridSpan w:val="3"/>
          </w:tcPr>
          <w:p w14:paraId="00B9CD4E" w14:textId="473A06E2" w:rsidR="00D67769" w:rsidRDefault="00943CC8" w:rsidP="00D67769">
            <w:pPr>
              <w:spacing w:line="264" w:lineRule="auto"/>
              <w:jc w:val="both"/>
            </w:pPr>
            <w:sdt>
              <w:sdtPr>
                <w:alias w:val="Probeer max 5 woorden te gebruiken"/>
                <w:tag w:val="Probeer max 5 woorden te gebruiken"/>
                <w:id w:val="1835729906"/>
                <w:placeholder>
                  <w:docPart w:val="D81E7610DA9A45279368F48039CCB5B6"/>
                </w:placeholder>
              </w:sdtPr>
              <w:sdtEndPr/>
              <w:sdtContent>
                <w:r w:rsidR="00D67769">
                  <w:t>Directierapportage 4</w:t>
                </w:r>
                <w:r w:rsidR="00D67769" w:rsidRPr="0015407B">
                  <w:rPr>
                    <w:vertAlign w:val="superscript"/>
                  </w:rPr>
                  <w:t>e</w:t>
                </w:r>
                <w:r w:rsidR="00D67769">
                  <w:t xml:space="preserve"> kwartaal 2023 </w:t>
                </w:r>
              </w:sdtContent>
            </w:sdt>
          </w:p>
        </w:tc>
      </w:tr>
      <w:tr w:rsidR="00D67769" w14:paraId="12A8DCEC" w14:textId="77777777" w:rsidTr="00D67769">
        <w:trPr>
          <w:trHeight w:val="411"/>
        </w:trPr>
        <w:tc>
          <w:tcPr>
            <w:tcW w:w="1950" w:type="dxa"/>
          </w:tcPr>
          <w:p w14:paraId="40A7A3BF" w14:textId="77777777" w:rsidR="00D67769" w:rsidRPr="00BF0F0E" w:rsidRDefault="00D67769" w:rsidP="00D67769">
            <w:pPr>
              <w:spacing w:line="264" w:lineRule="auto"/>
              <w:jc w:val="both"/>
              <w:rPr>
                <w:color w:val="00A9C1"/>
              </w:rPr>
            </w:pPr>
            <w:r w:rsidRPr="00BF0F0E">
              <w:rPr>
                <w:color w:val="00A9C1"/>
              </w:rPr>
              <w:t>Datum vergadering</w:t>
            </w:r>
          </w:p>
        </w:tc>
        <w:tc>
          <w:tcPr>
            <w:tcW w:w="2936" w:type="dxa"/>
          </w:tcPr>
          <w:p w14:paraId="7A41BC36" w14:textId="2223FE28" w:rsidR="00D67769" w:rsidRDefault="00943CC8" w:rsidP="00D67769">
            <w:pPr>
              <w:spacing w:line="264" w:lineRule="auto"/>
              <w:jc w:val="both"/>
            </w:pPr>
            <w:sdt>
              <w:sdtPr>
                <w:alias w:val="In te vullen door secretariaat"/>
                <w:tag w:val="In te vullen door secretariaat"/>
                <w:id w:val="-1549447898"/>
                <w:placeholder>
                  <w:docPart w:val="C475585EA5194050927BA3506BB2D053"/>
                </w:placeholder>
              </w:sdtPr>
              <w:sdtEndPr/>
              <w:sdtContent>
                <w:r w:rsidR="00D67769">
                  <w:t>24-04-2024</w:t>
                </w:r>
              </w:sdtContent>
            </w:sdt>
          </w:p>
        </w:tc>
        <w:tc>
          <w:tcPr>
            <w:tcW w:w="1840" w:type="dxa"/>
          </w:tcPr>
          <w:p w14:paraId="46DE5E0D" w14:textId="77777777" w:rsidR="00D67769" w:rsidRDefault="00D67769" w:rsidP="00D67769">
            <w:pPr>
              <w:spacing w:line="264" w:lineRule="auto"/>
              <w:jc w:val="both"/>
            </w:pPr>
            <w:r w:rsidRPr="00BF0F0E">
              <w:rPr>
                <w:color w:val="00A9C1"/>
              </w:rPr>
              <w:t>Agendapunt nr.</w:t>
            </w:r>
          </w:p>
        </w:tc>
        <w:tc>
          <w:tcPr>
            <w:tcW w:w="2900" w:type="dxa"/>
          </w:tcPr>
          <w:p w14:paraId="5BCAEB11" w14:textId="679C0E78" w:rsidR="00D67769" w:rsidRDefault="00C36EBE" w:rsidP="00D67769">
            <w:pPr>
              <w:spacing w:line="264" w:lineRule="auto"/>
              <w:jc w:val="both"/>
            </w:pPr>
            <w:r>
              <w:t>3.1</w:t>
            </w:r>
          </w:p>
        </w:tc>
      </w:tr>
    </w:tbl>
    <w:p w14:paraId="36143B75" w14:textId="67B53314" w:rsidR="0005346A" w:rsidRDefault="0005346A" w:rsidP="00BF636A">
      <w:pPr>
        <w:spacing w:after="0" w:line="264" w:lineRule="auto"/>
        <w:jc w:val="both"/>
      </w:pPr>
    </w:p>
    <w:p w14:paraId="6C60BFBC" w14:textId="77777777" w:rsidR="00694FA4" w:rsidRDefault="00694FA4" w:rsidP="00694FA4">
      <w:pPr>
        <w:spacing w:line="276" w:lineRule="auto"/>
      </w:pPr>
    </w:p>
    <w:p w14:paraId="2C1AEDA4" w14:textId="77777777" w:rsidR="004A310E" w:rsidRPr="004A310E" w:rsidRDefault="004A310E" w:rsidP="004A310E">
      <w:pPr>
        <w:spacing w:after="0" w:line="264" w:lineRule="auto"/>
        <w:jc w:val="both"/>
        <w:rPr>
          <w:b/>
          <w:bCs/>
          <w:color w:val="000000" w:themeColor="text1"/>
        </w:rPr>
      </w:pPr>
      <w:r w:rsidRPr="004A310E">
        <w:rPr>
          <w:b/>
          <w:bCs/>
          <w:color w:val="000000" w:themeColor="text1"/>
        </w:rPr>
        <w:t>Voorstel</w:t>
      </w:r>
    </w:p>
    <w:p w14:paraId="5BC1DF01" w14:textId="3688DF69" w:rsidR="00694FA4" w:rsidRPr="00B17DC3" w:rsidRDefault="00694FA4" w:rsidP="00694FA4">
      <w:pPr>
        <w:pStyle w:val="Lijstalinea"/>
        <w:numPr>
          <w:ilvl w:val="0"/>
          <w:numId w:val="10"/>
        </w:numPr>
        <w:spacing w:after="0" w:line="276" w:lineRule="auto"/>
      </w:pPr>
      <w:r w:rsidRPr="00B17DC3">
        <w:t>De Directierapportage 4</w:t>
      </w:r>
      <w:r w:rsidRPr="00B17DC3">
        <w:rPr>
          <w:vertAlign w:val="superscript"/>
        </w:rPr>
        <w:t>e</w:t>
      </w:r>
      <w:r w:rsidRPr="00B17DC3">
        <w:t xml:space="preserve"> kwartaal 2023 vast te stellen;</w:t>
      </w:r>
    </w:p>
    <w:p w14:paraId="37950779" w14:textId="5F09713C" w:rsidR="00694FA4" w:rsidRPr="00B17DC3" w:rsidRDefault="00F674EF" w:rsidP="00694FA4">
      <w:pPr>
        <w:pStyle w:val="Lijstalinea"/>
        <w:numPr>
          <w:ilvl w:val="0"/>
          <w:numId w:val="10"/>
        </w:numPr>
        <w:spacing w:after="0" w:line="276" w:lineRule="auto"/>
      </w:pPr>
      <w:r w:rsidRPr="00182CDF">
        <w:rPr>
          <w:bCs/>
        </w:rPr>
        <w:t>Kennis te nemen van de bijgevoegde reeds verzonden brief aan Waterschap Limburg omtrent de</w:t>
      </w:r>
      <w:r>
        <w:rPr>
          <w:bCs/>
        </w:rPr>
        <w:t xml:space="preserve"> </w:t>
      </w:r>
      <w:r w:rsidRPr="00182CDF">
        <w:rPr>
          <w:bCs/>
        </w:rPr>
        <w:t xml:space="preserve">Directierapportage </w:t>
      </w:r>
      <w:r>
        <w:rPr>
          <w:bCs/>
        </w:rPr>
        <w:t>4</w:t>
      </w:r>
      <w:r w:rsidRPr="00182CDF">
        <w:rPr>
          <w:bCs/>
          <w:vertAlign w:val="superscript"/>
        </w:rPr>
        <w:t xml:space="preserve">e </w:t>
      </w:r>
      <w:r w:rsidRPr="00182CDF">
        <w:rPr>
          <w:bCs/>
        </w:rPr>
        <w:t>kwartaal 2023</w:t>
      </w:r>
      <w:r w:rsidR="00694FA4" w:rsidRPr="00B17DC3">
        <w:t>.</w:t>
      </w:r>
    </w:p>
    <w:p w14:paraId="6B4C8C30" w14:textId="77777777" w:rsidR="00694FA4" w:rsidRPr="00B17DC3" w:rsidRDefault="00694FA4" w:rsidP="00694FA4">
      <w:pPr>
        <w:spacing w:after="0" w:line="264" w:lineRule="auto"/>
        <w:jc w:val="both"/>
      </w:pPr>
    </w:p>
    <w:p w14:paraId="72AB0878" w14:textId="77777777" w:rsidR="00694FA4" w:rsidRPr="00B17DC3" w:rsidRDefault="00694FA4" w:rsidP="00694FA4">
      <w:pPr>
        <w:spacing w:after="0" w:line="264" w:lineRule="auto"/>
        <w:jc w:val="both"/>
      </w:pPr>
    </w:p>
    <w:p w14:paraId="2670C753" w14:textId="77777777" w:rsidR="00694FA4" w:rsidRPr="00B17DC3" w:rsidRDefault="00694FA4" w:rsidP="00694FA4">
      <w:pPr>
        <w:spacing w:after="0" w:line="264" w:lineRule="auto"/>
        <w:jc w:val="both"/>
        <w:rPr>
          <w:b/>
          <w:bCs/>
          <w:color w:val="000000" w:themeColor="text1"/>
        </w:rPr>
      </w:pPr>
      <w:r w:rsidRPr="00B17DC3">
        <w:rPr>
          <w:b/>
          <w:bCs/>
          <w:color w:val="000000" w:themeColor="text1"/>
        </w:rPr>
        <w:t>Aanleiding (of korte toelichting)</w:t>
      </w:r>
    </w:p>
    <w:p w14:paraId="4F9B8C00" w14:textId="77777777" w:rsidR="00694FA4" w:rsidRPr="00B17DC3" w:rsidRDefault="00694FA4" w:rsidP="00694FA4">
      <w:pPr>
        <w:spacing w:line="276" w:lineRule="auto"/>
      </w:pPr>
      <w:r w:rsidRPr="00B17DC3">
        <w:t>In bijgevoegde Directierapportage wordt het bestuur meegenomen in de stand van zaken per ultimo december 2023, zowel qua strategische thema’s, prestaties, financiën, risico’s en overige ontwikkelingen. Aan de hand van het dashboard worden indicatoren die van de vastgestelde marges afwijken en/of van de begrote of geraamde waarden, nader toegelicht.</w:t>
      </w:r>
    </w:p>
    <w:p w14:paraId="1D56B578" w14:textId="77777777" w:rsidR="00694FA4" w:rsidRPr="008006EF" w:rsidRDefault="00694FA4" w:rsidP="00694FA4">
      <w:pPr>
        <w:spacing w:line="276" w:lineRule="auto"/>
        <w:rPr>
          <w:i/>
          <w:iCs/>
          <w:sz w:val="10"/>
          <w:szCs w:val="10"/>
        </w:rPr>
      </w:pPr>
    </w:p>
    <w:p w14:paraId="227C6B6D" w14:textId="77777777" w:rsidR="00694FA4" w:rsidRPr="00B17DC3" w:rsidRDefault="00694FA4" w:rsidP="00694FA4">
      <w:pPr>
        <w:spacing w:line="276" w:lineRule="auto"/>
        <w:rPr>
          <w:i/>
          <w:iCs/>
        </w:rPr>
      </w:pPr>
      <w:r w:rsidRPr="00B17DC3">
        <w:rPr>
          <w:i/>
          <w:iCs/>
        </w:rPr>
        <w:t>Prestaties (gevalideerde data t/m december)</w:t>
      </w:r>
    </w:p>
    <w:p w14:paraId="1A31FC3B" w14:textId="77777777" w:rsidR="00694FA4" w:rsidRPr="00DD4C88" w:rsidRDefault="00694FA4" w:rsidP="00694FA4">
      <w:pPr>
        <w:spacing w:line="276" w:lineRule="auto"/>
        <w:rPr>
          <w:i/>
          <w:iCs/>
        </w:rPr>
      </w:pPr>
      <w:r w:rsidRPr="00DD4C88">
        <w:rPr>
          <w:noProof/>
        </w:rPr>
        <w:drawing>
          <wp:inline distT="0" distB="0" distL="0" distR="0" wp14:anchorId="148AAD13" wp14:editId="271E6B86">
            <wp:extent cx="5760720" cy="1604645"/>
            <wp:effectExtent l="0" t="0" r="0" b="0"/>
            <wp:docPr id="12018758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04645"/>
                    </a:xfrm>
                    <a:prstGeom prst="rect">
                      <a:avLst/>
                    </a:prstGeom>
                    <a:noFill/>
                    <a:ln>
                      <a:noFill/>
                    </a:ln>
                  </pic:spPr>
                </pic:pic>
              </a:graphicData>
            </a:graphic>
          </wp:inline>
        </w:drawing>
      </w:r>
    </w:p>
    <w:p w14:paraId="0AA62FCA" w14:textId="77777777" w:rsidR="00694FA4" w:rsidRPr="00DD4C88" w:rsidRDefault="00694FA4" w:rsidP="00694FA4">
      <w:bookmarkStart w:id="0" w:name="_Hlk97062145"/>
      <w:r w:rsidRPr="00DD4C88">
        <w:t>Samengevat voldoen 13 van de 17 zuiveringsinstallaties (RWZI’s) aan de vergunde lozingsnormen (jaargemiddelden). Het aantal RWZI’s dat tijdig is aangepast en voldoet aan KRW normen bedraagt 15 en dit is in lijn met de vorige kwartaalrapportage.</w:t>
      </w:r>
    </w:p>
    <w:p w14:paraId="24840F62" w14:textId="77777777" w:rsidR="00694FA4" w:rsidRDefault="00694FA4" w:rsidP="00694FA4">
      <w:r w:rsidRPr="00DD4C88">
        <w:t xml:space="preserve">De zuiveringsresultaten ultimo december 2023 zijn vergelijkbaar met de vorige kwartalen. De jaargemiddelde N (stikstof) normen worden nog steeds door RWZI Gennep, Roermond, Weert en Wijlre overschreden. De RWZI Weert overschrijdt als enige zuivering het jaargemiddelde P (fosfaat). </w:t>
      </w:r>
      <w:r>
        <w:t xml:space="preserve">Ultimo december overschrijdt RWZI Weert ook de normwaarden voor </w:t>
      </w:r>
      <w:r w:rsidRPr="00663460">
        <w:t xml:space="preserve">Biochemisch Zuurstof Verbruik </w:t>
      </w:r>
      <w:r>
        <w:t xml:space="preserve">(BZW). </w:t>
      </w:r>
      <w:r w:rsidRPr="00105FEA">
        <w:t>Uiteindelijk is tot en met december voor BZV 8</w:t>
      </w:r>
      <w:r>
        <w:t>x een normoverschrijding</w:t>
      </w:r>
      <w:r w:rsidRPr="00105FEA">
        <w:t xml:space="preserve"> geregistreerd </w:t>
      </w:r>
      <w:r>
        <w:t>waar 5x is toegestaan.</w:t>
      </w:r>
      <w:r w:rsidRPr="00105FEA">
        <w:t xml:space="preserve"> In </w:t>
      </w:r>
      <w:r w:rsidRPr="004377FE">
        <w:t xml:space="preserve">álle gevallen was sprake van regenwaterafvoer (RWA) al dan niet in combinatie met afwijkende lozingen. Extern onderzoek naar mogelijkheden voor aanpassen en/of uitbreiding van (biologische) zuiveringscapaciteit als oplossing is uitgevoerd. Een projectvoorstel voor </w:t>
      </w:r>
      <w:r>
        <w:t xml:space="preserve">een </w:t>
      </w:r>
      <w:r w:rsidRPr="004377FE">
        <w:t>variantenkeuze wordt opgesteld in Q1 2024.</w:t>
      </w:r>
    </w:p>
    <w:p w14:paraId="794EE283" w14:textId="77777777" w:rsidR="00694FA4" w:rsidRPr="00B17DC3" w:rsidRDefault="00694FA4" w:rsidP="00694FA4">
      <w:pPr>
        <w:rPr>
          <w:highlight w:val="yellow"/>
        </w:rPr>
      </w:pPr>
      <w:r>
        <w:lastRenderedPageBreak/>
        <w:t xml:space="preserve">Voor Gennep is in 2023 </w:t>
      </w:r>
      <w:r w:rsidRPr="00FC0EA7">
        <w:t xml:space="preserve">extra bemonsterd binnen </w:t>
      </w:r>
      <w:proofErr w:type="spellStart"/>
      <w:r>
        <w:t>WBL’s</w:t>
      </w:r>
      <w:proofErr w:type="spellEnd"/>
      <w:r w:rsidRPr="00FC0EA7">
        <w:t xml:space="preserve"> eigen</w:t>
      </w:r>
      <w:r>
        <w:t xml:space="preserve"> en het gemeentelijk</w:t>
      </w:r>
      <w:r w:rsidRPr="00FC0EA7">
        <w:t xml:space="preserve"> transportstelsel. Op basis daarvan zijn door WBL enkele lozingsbronnen vastgesteld, met een focus op de gemeente Mook en Middelaar. Door de gemeente is tijdens een lozing onderzoek uitgevoerd, waarbij het niet gelukt is de lozer te traceren. Op basis van de verkregen informatie wordt in samenwerking met de Gemeente Mook en Middelaar, WL en WBL intensiever onderzoek verricht vanaf oktober 2023. Hierbij zijn afspraken gemaakt over verdere informatiedeling en het uitvoeren van (basis)metingen door WBL en de Gemeente ten einde de lozingsbron te kunnen opsporen.</w:t>
      </w:r>
      <w:r>
        <w:t xml:space="preserve"> De extra bemonsteringen hebben tot op heden nog geen grondoorzaak opgeleverd.</w:t>
      </w:r>
    </w:p>
    <w:p w14:paraId="6254B978" w14:textId="77777777" w:rsidR="00694FA4" w:rsidRPr="00345756" w:rsidRDefault="00694FA4" w:rsidP="00694FA4">
      <w:r w:rsidRPr="000927B6">
        <w:t>Voor wat betreft Roermond</w:t>
      </w:r>
      <w:r>
        <w:t>, Weert en Wijlre</w:t>
      </w:r>
      <w:r w:rsidRPr="000927B6">
        <w:t xml:space="preserve"> geen nieuwe ontwikkelingen in Q4. Het onderzoek bij Roermond, welke is opgestart na vaststelling lozende partij, loopt. Dit onderzoek heeft als doel het reduceren van de hoeveelheid geloosde stikstof en dus een verlaging van de stikstofvracht in het </w:t>
      </w:r>
      <w:proofErr w:type="spellStart"/>
      <w:r w:rsidRPr="000927B6">
        <w:t>influent</w:t>
      </w:r>
      <w:proofErr w:type="spellEnd"/>
      <w:r w:rsidRPr="000927B6">
        <w:t xml:space="preserve"> van de RWZI. Ook bij Weert vindt op dit moment een uitgebreid onderzoek plaats door RHDHV (Royal </w:t>
      </w:r>
      <w:proofErr w:type="spellStart"/>
      <w:r w:rsidRPr="000927B6">
        <w:t>Haskoning</w:t>
      </w:r>
      <w:proofErr w:type="spellEnd"/>
      <w:r w:rsidRPr="000927B6">
        <w:t xml:space="preserve"> DHV) om te achterhalen wat de mogelijkheden zijn indien aanpassingen </w:t>
      </w:r>
      <w:r w:rsidRPr="00345756">
        <w:t>moeten plaatsvinden aan de installaties van Weert. De resultaten hiervan zijn nog niet bekend. Verder is in oktober gestart met het uitvoeren van het meetplan. Bij RWZI Wijlre heeft de Brand bierbrouwerij de spoel/</w:t>
      </w:r>
      <w:proofErr w:type="spellStart"/>
      <w:r w:rsidRPr="00345756">
        <w:t>vullijn</w:t>
      </w:r>
      <w:proofErr w:type="spellEnd"/>
      <w:r w:rsidRPr="00345756">
        <w:t xml:space="preserve"> uit bedrijf genomen, maar treden de bekende weekend-effecten nog steeds op. De oorzaak is niet eenduidig te achterhalen en de mogelijke gevolgen worden in kaart gebracht. </w:t>
      </w:r>
    </w:p>
    <w:p w14:paraId="675C106D" w14:textId="77777777" w:rsidR="00694FA4" w:rsidRPr="00345756" w:rsidRDefault="00694FA4" w:rsidP="00694FA4">
      <w:pPr>
        <w:rPr>
          <w:rFonts w:cs="Arial"/>
          <w:color w:val="000000"/>
          <w:szCs w:val="20"/>
        </w:rPr>
      </w:pPr>
      <w:r w:rsidRPr="00345756">
        <w:rPr>
          <w:rFonts w:cs="Arial"/>
          <w:color w:val="000000"/>
          <w:szCs w:val="20"/>
        </w:rPr>
        <w:t>In de uitgebreide toelichting en bijlagen worden de zuiveringsresultaten en de status van de KRW-maatregelen meer in detail beschreven.</w:t>
      </w:r>
    </w:p>
    <w:p w14:paraId="51EF0BA6" w14:textId="1E1FF6E1" w:rsidR="00694FA4" w:rsidRPr="00E26D42" w:rsidRDefault="00694FA4" w:rsidP="00694FA4">
      <w:pPr>
        <w:spacing w:line="264" w:lineRule="auto"/>
      </w:pPr>
      <w:r w:rsidRPr="00E516DE">
        <w:t>Het ziekteverzuim WBL bedraagt in het 4</w:t>
      </w:r>
      <w:r w:rsidRPr="007F2DD0">
        <w:rPr>
          <w:vertAlign w:val="superscript"/>
        </w:rPr>
        <w:t>e</w:t>
      </w:r>
      <w:r w:rsidRPr="00E516DE">
        <w:t xml:space="preserve"> kwartaal 2023 6,32% </w:t>
      </w:r>
      <w:r>
        <w:t>ten opzichte van</w:t>
      </w:r>
      <w:r w:rsidRPr="00C54102">
        <w:t xml:space="preserve"> 4,85% in </w:t>
      </w:r>
      <w:r w:rsidRPr="00E516DE">
        <w:t>het 3</w:t>
      </w:r>
      <w:r w:rsidRPr="007F2DD0">
        <w:rPr>
          <w:vertAlign w:val="superscript"/>
        </w:rPr>
        <w:t>e</w:t>
      </w:r>
      <w:r w:rsidRPr="00E516DE">
        <w:t xml:space="preserve"> </w:t>
      </w:r>
      <w:r w:rsidRPr="00C54102">
        <w:t xml:space="preserve"> </w:t>
      </w:r>
      <w:r w:rsidRPr="00E516DE">
        <w:t>kwartaal</w:t>
      </w:r>
      <w:r w:rsidRPr="00C54102">
        <w:t>.</w:t>
      </w:r>
      <w:r w:rsidRPr="00A30E62">
        <w:t xml:space="preserve"> Cumulatief bedraagt het ziekteverzuim ultimo </w:t>
      </w:r>
      <w:r w:rsidRPr="00981370">
        <w:t xml:space="preserve">december 5,42% </w:t>
      </w:r>
      <w:r w:rsidRPr="00C54102">
        <w:t>t</w:t>
      </w:r>
      <w:r>
        <w:t>en opzichte van</w:t>
      </w:r>
      <w:r w:rsidRPr="00C54102">
        <w:t xml:space="preserve"> 5,14% </w:t>
      </w:r>
      <w:r>
        <w:t>ultimo september</w:t>
      </w:r>
      <w:r w:rsidRPr="00C54102">
        <w:t>. De oorzaak ligt in de stijging van</w:t>
      </w:r>
      <w:r w:rsidRPr="00981370">
        <w:t xml:space="preserve"> het kort</w:t>
      </w:r>
      <w:r>
        <w:t xml:space="preserve">, </w:t>
      </w:r>
      <w:r w:rsidRPr="00981370">
        <w:t xml:space="preserve">middellang en langdurend </w:t>
      </w:r>
      <w:r w:rsidRPr="00D660A9">
        <w:t>verzuim</w:t>
      </w:r>
      <w:r>
        <w:t xml:space="preserve">. </w:t>
      </w:r>
      <w:r w:rsidRPr="001E7401">
        <w:t xml:space="preserve">Dit is in lijn met de rest van Nederland. WBL heeft een relatief laag ziekteverzuim </w:t>
      </w:r>
      <w:r>
        <w:t>in vergelijking met</w:t>
      </w:r>
      <w:r w:rsidRPr="001E7401">
        <w:t xml:space="preserve"> overheidsdiensten in Nederland</w:t>
      </w:r>
      <w:r>
        <w:t>.</w:t>
      </w:r>
      <w:r w:rsidRPr="00D660A9">
        <w:t xml:space="preserve"> Het langdurig relatief hoge </w:t>
      </w:r>
      <w:r w:rsidRPr="007F2DD0">
        <w:t>ziekteverzuim in Nederland legt extra druk op de krappe arbeidsmarkt. In 2021 was het gemiddelde ziekteverzuim in de categorie openbaar bestuur en overheidsdiensten 5,2%, in 2022 6,1%</w:t>
      </w:r>
      <w:r w:rsidR="00004DBC">
        <w:t xml:space="preserve"> en in 2023 6,0%</w:t>
      </w:r>
      <w:r w:rsidRPr="007F2DD0">
        <w:t xml:space="preserve">. In combinatie met de steeds ouder wordende beroepsbevolking is het nog belangrijker om werknemers inzetbaar te houden. Een aspect waar WBL continu aandacht voor had en heeft. </w:t>
      </w:r>
    </w:p>
    <w:p w14:paraId="5A9EC847" w14:textId="77777777" w:rsidR="00694FA4" w:rsidRPr="00A83DA8" w:rsidRDefault="00694FA4" w:rsidP="00694FA4">
      <w:pPr>
        <w:spacing w:line="264" w:lineRule="auto"/>
      </w:pPr>
      <w:r w:rsidRPr="00A83DA8">
        <w:t>In het 4</w:t>
      </w:r>
      <w:r w:rsidRPr="00140D5E">
        <w:rPr>
          <w:vertAlign w:val="superscript"/>
        </w:rPr>
        <w:t>e</w:t>
      </w:r>
      <w:r w:rsidRPr="00A83DA8">
        <w:t xml:space="preserve"> kwartaal 2023 hebben zich geen ernstige ongelukken voorgedaan.</w:t>
      </w:r>
    </w:p>
    <w:p w14:paraId="187637FE" w14:textId="77777777" w:rsidR="00694FA4" w:rsidRPr="00A83DA8" w:rsidRDefault="00694FA4" w:rsidP="00694FA4">
      <w:pPr>
        <w:spacing w:line="264" w:lineRule="auto"/>
      </w:pPr>
      <w:r w:rsidRPr="00A83DA8">
        <w:t>Verder zijn alle inkopen en aanbestedingen in het 4</w:t>
      </w:r>
      <w:r w:rsidRPr="00140D5E">
        <w:rPr>
          <w:vertAlign w:val="superscript"/>
        </w:rPr>
        <w:t>e</w:t>
      </w:r>
      <w:r w:rsidRPr="00A83DA8">
        <w:t xml:space="preserve"> kwartaal als rechtmatig beoordeeld.</w:t>
      </w:r>
    </w:p>
    <w:p w14:paraId="0A4EC9D8" w14:textId="77777777" w:rsidR="00694FA4" w:rsidRPr="00B17DC3" w:rsidRDefault="00694FA4" w:rsidP="00694FA4">
      <w:pPr>
        <w:spacing w:line="276" w:lineRule="auto"/>
        <w:rPr>
          <w:i/>
          <w:sz w:val="4"/>
          <w:szCs w:val="4"/>
          <w:highlight w:val="yellow"/>
        </w:rPr>
      </w:pPr>
    </w:p>
    <w:p w14:paraId="0BA20A49" w14:textId="77777777" w:rsidR="00694FA4" w:rsidRPr="00830291" w:rsidRDefault="00694FA4" w:rsidP="00694FA4">
      <w:pPr>
        <w:spacing w:line="276" w:lineRule="auto"/>
        <w:rPr>
          <w:i/>
        </w:rPr>
      </w:pPr>
      <w:r w:rsidRPr="00830291">
        <w:rPr>
          <w:i/>
        </w:rPr>
        <w:t xml:space="preserve">Financiën </w:t>
      </w:r>
    </w:p>
    <w:p w14:paraId="62714971" w14:textId="77777777" w:rsidR="00694FA4" w:rsidRDefault="00694FA4" w:rsidP="00694FA4">
      <w:pPr>
        <w:spacing w:line="264" w:lineRule="auto"/>
        <w:rPr>
          <w:rStyle w:val="eop"/>
          <w:rFonts w:cs="Arial"/>
          <w:szCs w:val="20"/>
        </w:rPr>
      </w:pPr>
      <w:r w:rsidRPr="00416473">
        <w:t>Het gerealiseerde investeringsbudget in 2023 bedraagt € 27,7 m</w:t>
      </w:r>
      <w:r>
        <w:t>i</w:t>
      </w:r>
      <w:r w:rsidRPr="00416473">
        <w:t>l</w:t>
      </w:r>
      <w:r>
        <w:t>joe</w:t>
      </w:r>
      <w:r w:rsidRPr="00416473">
        <w:t xml:space="preserve">n en is daarmee 33 procent </w:t>
      </w:r>
      <w:r>
        <w:t xml:space="preserve">        </w:t>
      </w:r>
      <w:r w:rsidRPr="00416473">
        <w:t>(€ 13,5 m</w:t>
      </w:r>
      <w:r>
        <w:t>i</w:t>
      </w:r>
      <w:r w:rsidRPr="00416473">
        <w:t>l</w:t>
      </w:r>
      <w:r>
        <w:t>joe</w:t>
      </w:r>
      <w:r w:rsidRPr="00416473">
        <w:t>n) lager dan gepland</w:t>
      </w:r>
      <w:r w:rsidRPr="00416473">
        <w:rPr>
          <w:lang w:eastAsia="nl-NL"/>
        </w:rPr>
        <w:t>.</w:t>
      </w:r>
      <w:r w:rsidRPr="00305EF7">
        <w:rPr>
          <w:lang w:eastAsia="nl-NL"/>
        </w:rPr>
        <w:t xml:space="preserve"> </w:t>
      </w:r>
      <w:r w:rsidRPr="00305EF7">
        <w:t>De lagere realisatie is het gevolg van een combinatie van factoren.</w:t>
      </w:r>
      <w:r>
        <w:t xml:space="preserve"> </w:t>
      </w:r>
      <w:r w:rsidRPr="00416473">
        <w:t>De gevolgen van de geopolitieke omstandigheden leiden tot vertragingen in de realisatie van projecten. Zo is sprake van schaarste in materialen, met onder andere lange levertijden tot gevolg, en schaarste in beschikbare capaciteit in menskracht, zowel intern als bij leveranciers/aannemers. Daarnaast hebben de weersomstandigheden in het najaar ook geleid tot</w:t>
      </w:r>
      <w:r>
        <w:t xml:space="preserve"> een</w:t>
      </w:r>
      <w:r w:rsidRPr="00416473">
        <w:t xml:space="preserve"> aantal vertragingen en speelt de stikstofproblematiek een rol bij het tijdig verkrijgen van vergunningen. </w:t>
      </w:r>
    </w:p>
    <w:p w14:paraId="2F1B535C" w14:textId="77777777" w:rsidR="00694FA4" w:rsidRDefault="00694FA4" w:rsidP="00694FA4">
      <w:pPr>
        <w:pStyle w:val="paragraph"/>
        <w:spacing w:before="0" w:beforeAutospacing="0" w:after="0" w:afterAutospacing="0"/>
        <w:textAlignment w:val="baseline"/>
        <w:rPr>
          <w:rFonts w:ascii="Segoe UI" w:hAnsi="Segoe UI" w:cs="Segoe UI"/>
          <w:sz w:val="18"/>
          <w:szCs w:val="18"/>
        </w:rPr>
      </w:pPr>
    </w:p>
    <w:p w14:paraId="4659CC0F" w14:textId="77777777" w:rsidR="00694FA4" w:rsidRPr="009A78EF" w:rsidRDefault="00694FA4" w:rsidP="00694FA4">
      <w:pPr>
        <w:spacing w:line="264" w:lineRule="auto"/>
      </w:pPr>
      <w:r w:rsidRPr="009A78EF">
        <w:t xml:space="preserve">De exploitatie laat ultimo december een negatief resultaat zien van € 3,7 miljoen als gevolg van hogere niet beïnvloedbare operationele </w:t>
      </w:r>
      <w:proofErr w:type="spellStart"/>
      <w:r w:rsidRPr="009A78EF">
        <w:t>bedrijfsvoeringskosten</w:t>
      </w:r>
      <w:proofErr w:type="spellEnd"/>
      <w:r>
        <w:t>, maar ook</w:t>
      </w:r>
      <w:r w:rsidRPr="009A78EF">
        <w:t xml:space="preserve"> </w:t>
      </w:r>
      <w:r>
        <w:t>ho</w:t>
      </w:r>
      <w:r w:rsidRPr="009A78EF">
        <w:t>gere baten. Het negatief resultaat ultimo december is uiteindelijk lager uitgevallen dan geprognosticeerd in de vorige kwartaalrapportage (€ 5,3 miljoen negatief). Hoofdstuk 2 bevat een verdere toelichting op dit resultaat.</w:t>
      </w:r>
    </w:p>
    <w:p w14:paraId="7DF63AE8" w14:textId="77777777" w:rsidR="00694FA4" w:rsidRPr="009A78EF" w:rsidRDefault="00694FA4" w:rsidP="00694FA4">
      <w:pPr>
        <w:pStyle w:val="paragraph"/>
        <w:spacing w:before="0" w:beforeAutospacing="0" w:after="0" w:afterAutospacing="0"/>
        <w:textAlignment w:val="baseline"/>
        <w:rPr>
          <w:rFonts w:ascii="Arial" w:eastAsiaTheme="minorHAnsi" w:hAnsi="Arial" w:cstheme="minorBidi"/>
          <w:sz w:val="20"/>
          <w:szCs w:val="22"/>
          <w:lang w:eastAsia="en-US"/>
        </w:rPr>
      </w:pPr>
    </w:p>
    <w:p w14:paraId="6A3EBFDA" w14:textId="77777777" w:rsidR="00694FA4" w:rsidRPr="00B17DC3" w:rsidRDefault="00694FA4" w:rsidP="00694FA4">
      <w:pPr>
        <w:rPr>
          <w:highlight w:val="yellow"/>
        </w:rPr>
      </w:pPr>
      <w:r w:rsidRPr="009A78EF">
        <w:t>In de hiernavolgende toelichting worden de benoemde onderwerpen nader uitgewerkt.</w:t>
      </w:r>
      <w:bookmarkEnd w:id="0"/>
      <w:r w:rsidRPr="00B17DC3">
        <w:rPr>
          <w:highlight w:val="yellow"/>
        </w:rPr>
        <w:br w:type="page"/>
      </w:r>
    </w:p>
    <w:p w14:paraId="04530BDB" w14:textId="77777777" w:rsidR="00694FA4" w:rsidRPr="00BF129D" w:rsidRDefault="00694FA4" w:rsidP="00694FA4">
      <w:pPr>
        <w:jc w:val="both"/>
        <w:rPr>
          <w:b/>
        </w:rPr>
      </w:pPr>
      <w:r w:rsidRPr="00BF129D">
        <w:rPr>
          <w:b/>
        </w:rPr>
        <w:lastRenderedPageBreak/>
        <w:t xml:space="preserve">Uitgebreide toelichting op voorstel: </w:t>
      </w:r>
    </w:p>
    <w:p w14:paraId="00FA7521" w14:textId="77777777" w:rsidR="00694FA4" w:rsidRPr="00BF129D" w:rsidRDefault="00694FA4" w:rsidP="00694FA4">
      <w:pPr>
        <w:spacing w:line="276" w:lineRule="auto"/>
        <w:jc w:val="both"/>
        <w:rPr>
          <w:b/>
        </w:rPr>
      </w:pPr>
      <w:bookmarkStart w:id="1" w:name="_Hlk65144437"/>
    </w:p>
    <w:p w14:paraId="236C18AE" w14:textId="77777777" w:rsidR="00694FA4" w:rsidRPr="00BF129D" w:rsidRDefault="00694FA4" w:rsidP="00694FA4">
      <w:pPr>
        <w:pStyle w:val="Lijstalinea"/>
        <w:numPr>
          <w:ilvl w:val="0"/>
          <w:numId w:val="5"/>
        </w:numPr>
        <w:spacing w:after="0" w:line="276" w:lineRule="auto"/>
        <w:contextualSpacing w:val="0"/>
        <w:jc w:val="both"/>
        <w:rPr>
          <w:b/>
        </w:rPr>
      </w:pPr>
      <w:r w:rsidRPr="00BF129D">
        <w:rPr>
          <w:b/>
        </w:rPr>
        <w:t>WBL Dashboard</w:t>
      </w:r>
    </w:p>
    <w:p w14:paraId="04FB8CB4" w14:textId="77777777" w:rsidR="00694FA4" w:rsidRPr="00B17DC3" w:rsidRDefault="00694FA4" w:rsidP="00694FA4">
      <w:pPr>
        <w:spacing w:line="276" w:lineRule="auto"/>
        <w:jc w:val="both"/>
        <w:rPr>
          <w:b/>
          <w:highlight w:val="yellow"/>
        </w:rPr>
      </w:pPr>
    </w:p>
    <w:p w14:paraId="41518AED" w14:textId="77777777" w:rsidR="00694FA4" w:rsidRPr="008751AD" w:rsidRDefault="00694FA4" w:rsidP="00694FA4">
      <w:pPr>
        <w:spacing w:line="276" w:lineRule="auto"/>
        <w:jc w:val="both"/>
        <w:rPr>
          <w:b/>
        </w:rPr>
      </w:pPr>
      <w:r w:rsidRPr="008751AD">
        <w:rPr>
          <w:b/>
        </w:rPr>
        <w:t>1.1 Zuiveringsprestaties</w:t>
      </w:r>
    </w:p>
    <w:bookmarkEnd w:id="1"/>
    <w:p w14:paraId="704B8AC3" w14:textId="77777777" w:rsidR="00694FA4" w:rsidRPr="008751AD" w:rsidRDefault="00694FA4" w:rsidP="00694FA4">
      <w:pPr>
        <w:spacing w:line="276" w:lineRule="auto"/>
      </w:pPr>
      <w:r w:rsidRPr="008751AD">
        <w:t xml:space="preserve">Al geruime tijd voldoet WBL bij vier RWZI’s niet aan de norm. De status en ondernomen acties per RWZI wordt op </w:t>
      </w:r>
      <w:r w:rsidRPr="00A66560">
        <w:t>pagina 18 en 19 nader</w:t>
      </w:r>
      <w:r w:rsidRPr="008751AD">
        <w:t xml:space="preserve"> toegelicht.</w:t>
      </w:r>
    </w:p>
    <w:p w14:paraId="1D174923" w14:textId="77777777" w:rsidR="00694FA4" w:rsidRPr="00B17DC3" w:rsidRDefault="00694FA4" w:rsidP="00694FA4">
      <w:pPr>
        <w:rPr>
          <w:highlight w:val="yellow"/>
        </w:rPr>
      </w:pPr>
      <w:r w:rsidRPr="008751AD">
        <w:t xml:space="preserve">Bronaanpak middels </w:t>
      </w:r>
      <w:proofErr w:type="spellStart"/>
      <w:r w:rsidRPr="008751AD">
        <w:t>influent</w:t>
      </w:r>
      <w:proofErr w:type="spellEnd"/>
      <w:r w:rsidRPr="008751AD">
        <w:t xml:space="preserve"> management is voor deze overschrijdingen de meest duurzame oplossing. Het alternatief zijnde het grootschalig renoveren en/of opnieuw bouwen van RWZI’s wordt als een niet proportionele/realistische optie </w:t>
      </w:r>
      <w:r w:rsidRPr="00DF19B7">
        <w:t>gezien. Alleen voor RWZI Weert wordt een uitbreiding van de zuiveringscapaciteit overwogen (zie bijlage</w:t>
      </w:r>
      <w:r>
        <w:t xml:space="preserve"> 2</w:t>
      </w:r>
      <w:r w:rsidRPr="00DF19B7">
        <w:t>: KRW overzicht 4</w:t>
      </w:r>
      <w:r w:rsidRPr="00DF19B7">
        <w:rPr>
          <w:vertAlign w:val="superscript"/>
        </w:rPr>
        <w:t>e</w:t>
      </w:r>
      <w:r w:rsidRPr="00DF19B7">
        <w:t xml:space="preserve"> kwartaal 2023). In de vorige</w:t>
      </w:r>
      <w:r w:rsidRPr="008751AD">
        <w:t xml:space="preserve"> rapportages zijn de verschillende taken en verantwoordelijkheden van organisaties binnen de watersector omschreven en is de complexiteit die daarvan het gevolg is benoemd (zie bijlage 1 voor schematische weergave). WBL heeft hierin een adviserende rol en heeft daardoor weinig invloed op het aanpakken van de grondoorzaak. Hierdoor blijven normoverschrijdingen bestaan en wordt WBL betreffende één RWZI geconfronteerd met een last onder dwangsom. Hoewel overleggen met alle partijen regelmatig plaatsvinden, zijn in het oplossen van de normoverschrijdingen geen significante veranderingen te benoemen ten opzichte van de vorige rapportage. Bij Gennep zijn verdere afspraken gemaakt en gaat intensiever onderzoek verricht worden de komende </w:t>
      </w:r>
      <w:r w:rsidRPr="007D2DE5">
        <w:t>maanden.</w:t>
      </w:r>
    </w:p>
    <w:p w14:paraId="215D8594" w14:textId="77777777" w:rsidR="00694FA4" w:rsidRPr="00B17DC3" w:rsidRDefault="00694FA4" w:rsidP="00694FA4">
      <w:pPr>
        <w:spacing w:line="276" w:lineRule="auto"/>
        <w:jc w:val="both"/>
        <w:rPr>
          <w:b/>
          <w:highlight w:val="yellow"/>
        </w:rPr>
      </w:pPr>
    </w:p>
    <w:p w14:paraId="1BDA4BA5" w14:textId="77777777" w:rsidR="00694FA4" w:rsidRPr="00C644A2" w:rsidRDefault="00694FA4" w:rsidP="00694FA4">
      <w:pPr>
        <w:spacing w:line="276" w:lineRule="auto"/>
        <w:jc w:val="both"/>
        <w:rPr>
          <w:b/>
        </w:rPr>
      </w:pPr>
      <w:r w:rsidRPr="00C644A2">
        <w:rPr>
          <w:b/>
        </w:rPr>
        <w:t>1.2 Medewerkers</w:t>
      </w:r>
    </w:p>
    <w:p w14:paraId="2094BA5B" w14:textId="77777777" w:rsidR="00694FA4" w:rsidRPr="00C644A2" w:rsidRDefault="00694FA4" w:rsidP="00694FA4">
      <w:pPr>
        <w:spacing w:line="276" w:lineRule="auto"/>
        <w:jc w:val="both"/>
        <w:rPr>
          <w:i/>
        </w:rPr>
      </w:pPr>
      <w:bookmarkStart w:id="2" w:name="_Hlk40711216"/>
      <w:r w:rsidRPr="00C644A2">
        <w:rPr>
          <w:i/>
        </w:rPr>
        <w:t>1.2.1 Ziekteverzuim ultimo 2023</w:t>
      </w:r>
    </w:p>
    <w:p w14:paraId="04BDFE7E" w14:textId="77777777" w:rsidR="00694FA4" w:rsidRDefault="00694FA4" w:rsidP="00694FA4">
      <w:pPr>
        <w:spacing w:line="276" w:lineRule="auto"/>
        <w:jc w:val="both"/>
        <w:rPr>
          <w:i/>
          <w:iCs/>
          <w:highlight w:val="yellow"/>
        </w:rPr>
      </w:pPr>
      <w:r w:rsidRPr="00C644A2">
        <w:rPr>
          <w:noProof/>
        </w:rPr>
        <w:drawing>
          <wp:inline distT="0" distB="0" distL="0" distR="0" wp14:anchorId="550FC14E" wp14:editId="5877AE11">
            <wp:extent cx="3859200" cy="327600"/>
            <wp:effectExtent l="0" t="0" r="0" b="0"/>
            <wp:docPr id="7171652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9200" cy="327600"/>
                    </a:xfrm>
                    <a:prstGeom prst="rect">
                      <a:avLst/>
                    </a:prstGeom>
                    <a:noFill/>
                    <a:ln>
                      <a:noFill/>
                    </a:ln>
                  </pic:spPr>
                </pic:pic>
              </a:graphicData>
            </a:graphic>
          </wp:inline>
        </w:drawing>
      </w:r>
    </w:p>
    <w:p w14:paraId="07D8DB8D" w14:textId="77777777" w:rsidR="00694FA4" w:rsidRPr="00182705" w:rsidRDefault="00694FA4" w:rsidP="00694FA4">
      <w:pPr>
        <w:spacing w:line="276" w:lineRule="auto"/>
        <w:jc w:val="both"/>
        <w:rPr>
          <w:highlight w:val="yellow"/>
        </w:rPr>
      </w:pPr>
    </w:p>
    <w:p w14:paraId="256B7768" w14:textId="77777777" w:rsidR="00694FA4" w:rsidRPr="00B17DC3" w:rsidRDefault="00694FA4" w:rsidP="00694FA4">
      <w:pPr>
        <w:spacing w:line="276" w:lineRule="auto"/>
        <w:jc w:val="both"/>
        <w:rPr>
          <w:highlight w:val="yellow"/>
        </w:rPr>
      </w:pPr>
      <w:r w:rsidRPr="00182705">
        <w:rPr>
          <w:noProof/>
        </w:rPr>
        <w:drawing>
          <wp:inline distT="0" distB="0" distL="0" distR="0" wp14:anchorId="025DAF20" wp14:editId="5F141625">
            <wp:extent cx="5760720" cy="3483610"/>
            <wp:effectExtent l="0" t="0" r="0" b="2540"/>
            <wp:docPr id="14199969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83610"/>
                    </a:xfrm>
                    <a:prstGeom prst="rect">
                      <a:avLst/>
                    </a:prstGeom>
                    <a:noFill/>
                    <a:ln>
                      <a:noFill/>
                    </a:ln>
                  </pic:spPr>
                </pic:pic>
              </a:graphicData>
            </a:graphic>
          </wp:inline>
        </w:drawing>
      </w:r>
    </w:p>
    <w:p w14:paraId="2BA4C4AA" w14:textId="77777777" w:rsidR="00694FA4" w:rsidRDefault="00694FA4" w:rsidP="00694FA4">
      <w:r>
        <w:lastRenderedPageBreak/>
        <w:t xml:space="preserve">Het totale ziekteverzuim WBL </w:t>
      </w:r>
      <w:r w:rsidRPr="00702ACD">
        <w:t>bedraagt in het 4</w:t>
      </w:r>
      <w:r w:rsidRPr="00702ACD">
        <w:rPr>
          <w:vertAlign w:val="superscript"/>
        </w:rPr>
        <w:t>e</w:t>
      </w:r>
      <w:r w:rsidRPr="00702ACD">
        <w:t xml:space="preserve"> kwartaal, 6,32%.</w:t>
      </w:r>
      <w:r>
        <w:t xml:space="preserve"> Ten opzichte van het voorgaande kwartaal is een duidelijke stijging waarneembaar (Q3: 4,85%). In vergelijking met CBS voor Waterbedrijven en Afvalbeheer over Q4, zijnde 6,9% en Openbaar bestuur en overheidsdiensten, zijnde 6,5% doet WBL het beter.</w:t>
      </w:r>
      <w:r w:rsidRPr="007A6D44">
        <w:rPr>
          <w:highlight w:val="yellow"/>
        </w:rPr>
        <w:t xml:space="preserve"> </w:t>
      </w:r>
    </w:p>
    <w:p w14:paraId="6B196B6C" w14:textId="77777777" w:rsidR="00694FA4" w:rsidRDefault="00694FA4" w:rsidP="00694FA4">
      <w:r>
        <w:t>Ultimo 2023 waren 13 medewerkers ziek, waarvan 9 langdurig en 4 kort. Met betrekking tot alle langdurig zieken is elke casuïstiek goed in beeld bij de betreffende manager en heeft het ziekteverzuim ook voldoende aandacht van de directie.</w:t>
      </w:r>
    </w:p>
    <w:p w14:paraId="493AFAE1" w14:textId="77777777" w:rsidR="00694FA4" w:rsidRPr="00481549" w:rsidRDefault="00694FA4" w:rsidP="00694FA4">
      <w:pPr>
        <w:spacing w:line="276" w:lineRule="auto"/>
        <w:rPr>
          <w:highlight w:val="yellow"/>
        </w:rPr>
      </w:pPr>
    </w:p>
    <w:p w14:paraId="76B77243" w14:textId="77777777" w:rsidR="00694FA4" w:rsidRPr="00A04EE7" w:rsidRDefault="00694FA4" w:rsidP="00694FA4">
      <w:pPr>
        <w:spacing w:line="276" w:lineRule="auto"/>
        <w:jc w:val="both"/>
        <w:rPr>
          <w:i/>
        </w:rPr>
      </w:pPr>
      <w:bookmarkStart w:id="3" w:name="_Hlk33211641"/>
      <w:bookmarkStart w:id="4" w:name="_Hlk40886743"/>
      <w:bookmarkStart w:id="5" w:name="_Hlk40729109"/>
      <w:bookmarkStart w:id="6" w:name="_Hlk47595157"/>
      <w:bookmarkEnd w:id="2"/>
      <w:r w:rsidRPr="00A04EE7">
        <w:rPr>
          <w:i/>
        </w:rPr>
        <w:t xml:space="preserve">1.2.2 Wet Banenafspraak en Quotum </w:t>
      </w:r>
      <w:proofErr w:type="spellStart"/>
      <w:r w:rsidRPr="00A04EE7">
        <w:rPr>
          <w:i/>
        </w:rPr>
        <w:t>arbeidsbeperkten</w:t>
      </w:r>
      <w:proofErr w:type="spellEnd"/>
    </w:p>
    <w:p w14:paraId="76A75D16" w14:textId="77777777" w:rsidR="00694FA4" w:rsidRPr="00B17DC3" w:rsidRDefault="00694FA4" w:rsidP="00694FA4">
      <w:pPr>
        <w:rPr>
          <w:rFonts w:cs="Roboto Condensed"/>
          <w:highlight w:val="yellow"/>
        </w:rPr>
      </w:pPr>
      <w:r w:rsidRPr="00A04EE7">
        <w:rPr>
          <w:noProof/>
        </w:rPr>
        <w:drawing>
          <wp:inline distT="0" distB="0" distL="0" distR="0" wp14:anchorId="20A27A23" wp14:editId="14346264">
            <wp:extent cx="4140000" cy="478800"/>
            <wp:effectExtent l="0" t="0" r="0" b="0"/>
            <wp:docPr id="200467945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000" cy="478800"/>
                    </a:xfrm>
                    <a:prstGeom prst="rect">
                      <a:avLst/>
                    </a:prstGeom>
                    <a:noFill/>
                    <a:ln>
                      <a:noFill/>
                    </a:ln>
                  </pic:spPr>
                </pic:pic>
              </a:graphicData>
            </a:graphic>
          </wp:inline>
        </w:drawing>
      </w:r>
    </w:p>
    <w:p w14:paraId="0DAB12CD" w14:textId="77777777" w:rsidR="00694FA4" w:rsidRDefault="00694FA4" w:rsidP="00694FA4">
      <w:pPr>
        <w:rPr>
          <w:rFonts w:cs="Roboto Condensed"/>
          <w:szCs w:val="20"/>
        </w:rPr>
      </w:pPr>
      <w:r w:rsidRPr="00C24824">
        <w:rPr>
          <w:rFonts w:cs="Roboto Condensed"/>
          <w:szCs w:val="20"/>
        </w:rPr>
        <w:t xml:space="preserve">WBL blijft actief inzetten op het behalen van het quotum Wet Banenafspraak. Er wordt ingezet op invulling via reguliere vacatures én er wordt individueel gekeken naar mogelijkheden voor mensen die bij WBL worden aangeboden. In Q1 2023 </w:t>
      </w:r>
      <w:r>
        <w:rPr>
          <w:rFonts w:cs="Roboto Condensed"/>
          <w:szCs w:val="20"/>
        </w:rPr>
        <w:t>is</w:t>
      </w:r>
      <w:r w:rsidRPr="00C24824">
        <w:rPr>
          <w:rFonts w:cs="Roboto Condensed"/>
          <w:szCs w:val="20"/>
        </w:rPr>
        <w:t xml:space="preserve"> contact gezocht met “Onbeperkt aan de slag”. Deze organisatie biedt een platform van meer dan 10.000 getalenteerde en gemotiveerde werkzoekenden met een beperking. Vanaf Q3 2023 he</w:t>
      </w:r>
      <w:r>
        <w:rPr>
          <w:rFonts w:cs="Roboto Condensed"/>
          <w:szCs w:val="20"/>
        </w:rPr>
        <w:t>eft WBL</w:t>
      </w:r>
      <w:r w:rsidRPr="00C24824">
        <w:rPr>
          <w:rFonts w:cs="Roboto Condensed"/>
          <w:szCs w:val="20"/>
        </w:rPr>
        <w:t xml:space="preserve"> samen met WL toegang tot dit platform</w:t>
      </w:r>
      <w:r>
        <w:rPr>
          <w:rFonts w:cs="Roboto Condensed"/>
          <w:szCs w:val="20"/>
        </w:rPr>
        <w:t xml:space="preserve"> en worden hierop actief vacatures geplaatst om een zo groot mogelijk bereik te realiseren</w:t>
      </w:r>
      <w:r w:rsidRPr="00C24824">
        <w:rPr>
          <w:rFonts w:cs="Roboto Condensed"/>
          <w:szCs w:val="20"/>
        </w:rPr>
        <w:t xml:space="preserve">. </w:t>
      </w:r>
      <w:r>
        <w:rPr>
          <w:rFonts w:cs="Roboto Condensed"/>
          <w:szCs w:val="20"/>
        </w:rPr>
        <w:t xml:space="preserve">Het resultaat is nog niet naar tevredenheid. In maart 2024 wordt vanuit Onbeperkt aan de slag een inspiratiesessie voor alle leidinggevenden van WBL en WL georganiseerd. </w:t>
      </w:r>
    </w:p>
    <w:p w14:paraId="76FCF50C" w14:textId="77777777" w:rsidR="00694FA4" w:rsidRDefault="00694FA4" w:rsidP="00694FA4">
      <w:pPr>
        <w:rPr>
          <w:rFonts w:cs="Roboto Condensed"/>
          <w:szCs w:val="20"/>
        </w:rPr>
      </w:pPr>
      <w:r>
        <w:rPr>
          <w:rFonts w:cs="Roboto Condensed"/>
          <w:szCs w:val="20"/>
        </w:rPr>
        <w:t>Verder blijft WBL</w:t>
      </w:r>
      <w:r w:rsidRPr="00C24824">
        <w:rPr>
          <w:rFonts w:cs="Roboto Condensed"/>
          <w:szCs w:val="20"/>
        </w:rPr>
        <w:t xml:space="preserve"> ook gebruik maken van het Werkgeversservicepunt (WSP). </w:t>
      </w:r>
      <w:r>
        <w:rPr>
          <w:rFonts w:cs="Roboto Condensed"/>
          <w:szCs w:val="20"/>
        </w:rPr>
        <w:t>Deze organisatie</w:t>
      </w:r>
      <w:r w:rsidRPr="00C24824">
        <w:rPr>
          <w:rFonts w:cs="Roboto Condensed"/>
          <w:szCs w:val="20"/>
        </w:rPr>
        <w:t xml:space="preserve"> richt zich meer</w:t>
      </w:r>
      <w:r>
        <w:rPr>
          <w:rFonts w:cs="Roboto Condensed"/>
          <w:szCs w:val="20"/>
        </w:rPr>
        <w:t xml:space="preserve"> op</w:t>
      </w:r>
      <w:r w:rsidRPr="00C24824">
        <w:rPr>
          <w:rFonts w:cs="Roboto Condensed"/>
          <w:szCs w:val="20"/>
        </w:rPr>
        <w:t xml:space="preserve"> laag geschoolde, terwijl “Onbeperkt aan de slag” ook hoog opgeleide mensen aanbiedt. </w:t>
      </w:r>
      <w:r>
        <w:rPr>
          <w:rFonts w:cs="Roboto Condensed"/>
          <w:szCs w:val="20"/>
        </w:rPr>
        <w:t xml:space="preserve">In Q4 2023 is contact gezocht met </w:t>
      </w:r>
      <w:proofErr w:type="spellStart"/>
      <w:r>
        <w:rPr>
          <w:rFonts w:cs="Roboto Condensed"/>
          <w:szCs w:val="20"/>
        </w:rPr>
        <w:t>Magnit</w:t>
      </w:r>
      <w:proofErr w:type="spellEnd"/>
      <w:r>
        <w:rPr>
          <w:rFonts w:cs="Roboto Condensed"/>
          <w:szCs w:val="20"/>
        </w:rPr>
        <w:t xml:space="preserve">. Zij gaan WBL ondersteunen bij het inzetten van medewerkers met een arbeidsbeperking. </w:t>
      </w:r>
      <w:r w:rsidRPr="00C24824">
        <w:rPr>
          <w:rFonts w:cs="Roboto Condensed"/>
          <w:szCs w:val="20"/>
        </w:rPr>
        <w:t>Door aan te sluiten bij “Onbeperkt aan de slag”</w:t>
      </w:r>
      <w:r>
        <w:rPr>
          <w:rFonts w:cs="Roboto Condensed"/>
          <w:szCs w:val="20"/>
        </w:rPr>
        <w:t xml:space="preserve">, WSP en </w:t>
      </w:r>
      <w:proofErr w:type="spellStart"/>
      <w:r>
        <w:rPr>
          <w:rFonts w:cs="Roboto Condensed"/>
          <w:szCs w:val="20"/>
        </w:rPr>
        <w:t>Magnit</w:t>
      </w:r>
      <w:proofErr w:type="spellEnd"/>
      <w:r w:rsidRPr="00C24824">
        <w:rPr>
          <w:rFonts w:cs="Roboto Condensed"/>
          <w:szCs w:val="20"/>
        </w:rPr>
        <w:t xml:space="preserve"> verwacht WBL in 2025 70% van het Quotum, zijnde 6,3 banen van 25,5 uren per week, </w:t>
      </w:r>
      <w:r>
        <w:rPr>
          <w:rFonts w:cs="Roboto Condensed"/>
          <w:szCs w:val="20"/>
        </w:rPr>
        <w:t xml:space="preserve">te </w:t>
      </w:r>
      <w:r w:rsidRPr="00C24824">
        <w:rPr>
          <w:rFonts w:cs="Roboto Condensed"/>
          <w:szCs w:val="20"/>
        </w:rPr>
        <w:t>beha</w:t>
      </w:r>
      <w:r>
        <w:rPr>
          <w:rFonts w:cs="Roboto Condensed"/>
          <w:szCs w:val="20"/>
        </w:rPr>
        <w:t>len</w:t>
      </w:r>
      <w:r w:rsidRPr="00C24824">
        <w:rPr>
          <w:rFonts w:cs="Roboto Condensed"/>
          <w:szCs w:val="20"/>
        </w:rPr>
        <w:t>.</w:t>
      </w:r>
      <w:r>
        <w:rPr>
          <w:rFonts w:cs="Roboto Condensed"/>
          <w:szCs w:val="20"/>
        </w:rPr>
        <w:t xml:space="preserve"> Daarnaast zal WBL actief potentiële kandidaten gaan benaderen en worden de mogelijkheden met betrekking tot het verzorgen van de groenvoorziening onderzocht. Ultimo december heeft WBL een realisatie van 4 banen behaald. Dit hadden er 5 moeten zijn, maar één</w:t>
      </w:r>
      <w:r w:rsidRPr="00283799">
        <w:rPr>
          <w:rFonts w:cs="Roboto Condensed"/>
          <w:szCs w:val="20"/>
        </w:rPr>
        <w:t xml:space="preserve"> van de medewerkers vanuit de wet banenafspraak</w:t>
      </w:r>
      <w:r>
        <w:rPr>
          <w:rFonts w:cs="Roboto Condensed"/>
          <w:szCs w:val="20"/>
        </w:rPr>
        <w:t xml:space="preserve"> is</w:t>
      </w:r>
      <w:r w:rsidRPr="00283799">
        <w:rPr>
          <w:rFonts w:cs="Roboto Condensed"/>
          <w:szCs w:val="20"/>
        </w:rPr>
        <w:t xml:space="preserve"> zo goed geïntegreerd </w:t>
      </w:r>
      <w:r>
        <w:rPr>
          <w:rFonts w:cs="Roboto Condensed"/>
          <w:szCs w:val="20"/>
        </w:rPr>
        <w:t>dat deze persoon niet meer voldoet aan de definitie en gezien/gecategoriseerd wordt als reguliere instroom.</w:t>
      </w:r>
    </w:p>
    <w:p w14:paraId="6151BE80" w14:textId="77777777" w:rsidR="00694FA4" w:rsidRPr="00B17DC3" w:rsidRDefault="00694FA4" w:rsidP="00694FA4">
      <w:pPr>
        <w:rPr>
          <w:i/>
          <w:highlight w:val="yellow"/>
        </w:rPr>
      </w:pPr>
    </w:p>
    <w:p w14:paraId="18061922" w14:textId="77777777" w:rsidR="00694FA4" w:rsidRPr="00457391" w:rsidRDefault="00694FA4" w:rsidP="00694FA4">
      <w:pPr>
        <w:spacing w:line="276" w:lineRule="auto"/>
        <w:jc w:val="both"/>
        <w:rPr>
          <w:i/>
        </w:rPr>
      </w:pPr>
      <w:r w:rsidRPr="00457391">
        <w:rPr>
          <w:i/>
        </w:rPr>
        <w:t>1.2.3 Veiligheid</w:t>
      </w:r>
    </w:p>
    <w:bookmarkEnd w:id="3"/>
    <w:p w14:paraId="3CFEDEA8" w14:textId="77777777" w:rsidR="00694FA4" w:rsidRPr="00457391" w:rsidRDefault="00694FA4" w:rsidP="00694FA4">
      <w:pPr>
        <w:jc w:val="both"/>
      </w:pPr>
      <w:r w:rsidRPr="00457391">
        <w:t xml:space="preserve">In het </w:t>
      </w:r>
      <w:r>
        <w:t>4</w:t>
      </w:r>
      <w:r w:rsidRPr="00457391">
        <w:rPr>
          <w:vertAlign w:val="superscript"/>
        </w:rPr>
        <w:t>e</w:t>
      </w:r>
      <w:r w:rsidRPr="00457391">
        <w:t xml:space="preserve"> kwartaal 2023 heeft zich geen ernstig ongeval voorgedaan.</w:t>
      </w:r>
    </w:p>
    <w:p w14:paraId="18B09A71" w14:textId="77777777" w:rsidR="00694FA4" w:rsidRPr="00B17DC3" w:rsidRDefault="00694FA4" w:rsidP="00694FA4">
      <w:pPr>
        <w:spacing w:line="276" w:lineRule="auto"/>
        <w:jc w:val="both"/>
        <w:rPr>
          <w:highlight w:val="yellow"/>
        </w:rPr>
      </w:pPr>
      <w:r w:rsidRPr="00457391">
        <w:rPr>
          <w:noProof/>
        </w:rPr>
        <w:drawing>
          <wp:inline distT="0" distB="0" distL="0" distR="0" wp14:anchorId="38AF495B" wp14:editId="379DF649">
            <wp:extent cx="3787200" cy="331200"/>
            <wp:effectExtent l="0" t="0" r="381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7200" cy="331200"/>
                    </a:xfrm>
                    <a:prstGeom prst="rect">
                      <a:avLst/>
                    </a:prstGeom>
                    <a:noFill/>
                    <a:ln>
                      <a:noFill/>
                    </a:ln>
                  </pic:spPr>
                </pic:pic>
              </a:graphicData>
            </a:graphic>
          </wp:inline>
        </w:drawing>
      </w:r>
    </w:p>
    <w:bookmarkEnd w:id="4"/>
    <w:bookmarkEnd w:id="5"/>
    <w:bookmarkEnd w:id="6"/>
    <w:p w14:paraId="6B37019D" w14:textId="77777777" w:rsidR="00694FA4" w:rsidRDefault="00694FA4" w:rsidP="00694FA4">
      <w:pPr>
        <w:spacing w:line="276" w:lineRule="auto"/>
        <w:jc w:val="both"/>
        <w:rPr>
          <w:rFonts w:eastAsia="Times New Roman"/>
          <w:highlight w:val="yellow"/>
        </w:rPr>
      </w:pPr>
    </w:p>
    <w:p w14:paraId="651B340F" w14:textId="77777777" w:rsidR="001E19FC" w:rsidRDefault="001E19FC" w:rsidP="00694FA4">
      <w:pPr>
        <w:spacing w:line="276" w:lineRule="auto"/>
        <w:jc w:val="both"/>
        <w:rPr>
          <w:rFonts w:eastAsia="Times New Roman"/>
          <w:highlight w:val="yellow"/>
        </w:rPr>
      </w:pPr>
    </w:p>
    <w:p w14:paraId="726E4184" w14:textId="77777777" w:rsidR="001E19FC" w:rsidRDefault="001E19FC" w:rsidP="00694FA4">
      <w:pPr>
        <w:spacing w:line="276" w:lineRule="auto"/>
        <w:jc w:val="both"/>
        <w:rPr>
          <w:rFonts w:eastAsia="Times New Roman"/>
          <w:highlight w:val="yellow"/>
        </w:rPr>
      </w:pPr>
    </w:p>
    <w:p w14:paraId="0F50D744" w14:textId="77777777" w:rsidR="001E19FC" w:rsidRDefault="001E19FC" w:rsidP="00694FA4">
      <w:pPr>
        <w:spacing w:line="276" w:lineRule="auto"/>
        <w:jc w:val="both"/>
        <w:rPr>
          <w:rFonts w:eastAsia="Times New Roman"/>
          <w:highlight w:val="yellow"/>
        </w:rPr>
      </w:pPr>
    </w:p>
    <w:p w14:paraId="78EB9CCC" w14:textId="77777777" w:rsidR="001E19FC" w:rsidRDefault="001E19FC" w:rsidP="00694FA4">
      <w:pPr>
        <w:spacing w:line="276" w:lineRule="auto"/>
        <w:jc w:val="both"/>
        <w:rPr>
          <w:rFonts w:eastAsia="Times New Roman"/>
          <w:highlight w:val="yellow"/>
        </w:rPr>
      </w:pPr>
    </w:p>
    <w:p w14:paraId="3A2F6476" w14:textId="77777777" w:rsidR="001E19FC" w:rsidRDefault="001E19FC" w:rsidP="00694FA4">
      <w:pPr>
        <w:spacing w:line="276" w:lineRule="auto"/>
        <w:jc w:val="both"/>
        <w:rPr>
          <w:rFonts w:eastAsia="Times New Roman"/>
          <w:highlight w:val="yellow"/>
        </w:rPr>
      </w:pPr>
    </w:p>
    <w:p w14:paraId="43CCA7B3" w14:textId="77777777" w:rsidR="001E19FC" w:rsidRDefault="001E19FC" w:rsidP="00694FA4">
      <w:pPr>
        <w:spacing w:line="276" w:lineRule="auto"/>
        <w:jc w:val="both"/>
        <w:rPr>
          <w:rFonts w:eastAsia="Times New Roman"/>
          <w:highlight w:val="yellow"/>
        </w:rPr>
      </w:pPr>
    </w:p>
    <w:p w14:paraId="46B5415B" w14:textId="77777777" w:rsidR="001E19FC" w:rsidRPr="00B17DC3" w:rsidRDefault="001E19FC" w:rsidP="00694FA4">
      <w:pPr>
        <w:spacing w:line="276" w:lineRule="auto"/>
        <w:jc w:val="both"/>
        <w:rPr>
          <w:rFonts w:eastAsia="Times New Roman"/>
          <w:highlight w:val="yellow"/>
        </w:rPr>
      </w:pPr>
    </w:p>
    <w:p w14:paraId="3845D268" w14:textId="475B1419" w:rsidR="00694FA4" w:rsidRPr="00A846D9" w:rsidRDefault="00694FA4" w:rsidP="00694FA4">
      <w:pPr>
        <w:pStyle w:val="Lijstalinea"/>
        <w:numPr>
          <w:ilvl w:val="0"/>
          <w:numId w:val="5"/>
        </w:numPr>
        <w:spacing w:after="0" w:line="276" w:lineRule="auto"/>
        <w:contextualSpacing w:val="0"/>
        <w:rPr>
          <w:b/>
        </w:rPr>
      </w:pPr>
      <w:r w:rsidRPr="00A846D9">
        <w:rPr>
          <w:b/>
        </w:rPr>
        <w:lastRenderedPageBreak/>
        <w:t>Financieel</w:t>
      </w:r>
    </w:p>
    <w:p w14:paraId="69A5A8AF" w14:textId="77777777" w:rsidR="00694FA4" w:rsidRPr="00A846D9" w:rsidRDefault="00694FA4" w:rsidP="00694FA4">
      <w:pPr>
        <w:spacing w:line="276" w:lineRule="auto"/>
        <w:rPr>
          <w:b/>
        </w:rPr>
      </w:pPr>
    </w:p>
    <w:p w14:paraId="134537AA" w14:textId="77777777" w:rsidR="00694FA4" w:rsidRPr="00A846D9" w:rsidRDefault="00694FA4" w:rsidP="00694FA4">
      <w:pPr>
        <w:spacing w:line="276" w:lineRule="auto"/>
        <w:rPr>
          <w:i/>
        </w:rPr>
      </w:pPr>
      <w:r w:rsidRPr="00A846D9">
        <w:rPr>
          <w:i/>
        </w:rPr>
        <w:t>2.1 Exploitatiekosten 2023</w:t>
      </w:r>
    </w:p>
    <w:p w14:paraId="6175326C" w14:textId="77777777" w:rsidR="00694FA4" w:rsidRPr="00A846D9" w:rsidRDefault="00694FA4" w:rsidP="00694FA4">
      <w:pPr>
        <w:spacing w:line="276" w:lineRule="auto"/>
      </w:pPr>
      <w:r w:rsidRPr="00A846D9">
        <w:t>De exploitatiekosten zijn in 2023 met een realisatie van € 95,7 miljoen € 3,7 miljoen hoger dan de begroting.</w:t>
      </w:r>
    </w:p>
    <w:p w14:paraId="681C45E1" w14:textId="77777777" w:rsidR="00694FA4" w:rsidRPr="00B17DC3" w:rsidRDefault="00694FA4" w:rsidP="00694FA4">
      <w:pPr>
        <w:rPr>
          <w:highlight w:val="yellow"/>
        </w:rPr>
      </w:pPr>
      <w:r w:rsidRPr="008340C3">
        <w:rPr>
          <w:noProof/>
        </w:rPr>
        <w:drawing>
          <wp:inline distT="0" distB="0" distL="0" distR="0" wp14:anchorId="41FE1A46" wp14:editId="4C42BB68">
            <wp:extent cx="3877200" cy="669600"/>
            <wp:effectExtent l="0" t="0" r="0" b="0"/>
            <wp:docPr id="62795852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7200" cy="669600"/>
                    </a:xfrm>
                    <a:prstGeom prst="rect">
                      <a:avLst/>
                    </a:prstGeom>
                    <a:noFill/>
                    <a:ln>
                      <a:noFill/>
                    </a:ln>
                  </pic:spPr>
                </pic:pic>
              </a:graphicData>
            </a:graphic>
          </wp:inline>
        </w:drawing>
      </w:r>
    </w:p>
    <w:p w14:paraId="1FB1B11E" w14:textId="77777777" w:rsidR="00694FA4" w:rsidRPr="005B08A3" w:rsidRDefault="00694FA4" w:rsidP="00694FA4">
      <w:r w:rsidRPr="00B80246">
        <w:t xml:space="preserve">Deze overschrijding is het saldo van een overschrijding van de lasten (€ 4,26 miljoen) en een </w:t>
      </w:r>
      <w:r w:rsidRPr="00C622ED">
        <w:t>overschrijding bij de baten (€ 0,54 miljoen). De overschrijdingen van de lasten wordt veroorzaakt door de kostensoorten overige diensten door derden (€ 2,4 miljoen), onderhoud (€ 1</w:t>
      </w:r>
      <w:r>
        <w:t>,0</w:t>
      </w:r>
      <w:r w:rsidRPr="00C622ED">
        <w:t xml:space="preserve"> miljoen), </w:t>
      </w:r>
      <w:r w:rsidRPr="005B08A3">
        <w:t>personeelslasten (€ 1,7 miljoen), overige gebruiks- en verbruiksgoederen (€ 0,7 miljoen) en energiekosten (€ 0,8 miljoen). De kapitaallasten laten een onderschrijding zien van € 2,5 miljoen. Daarnaast laten verschillende andere kostensoorten diverse onder- en overschrijdingen zien.</w:t>
      </w:r>
    </w:p>
    <w:p w14:paraId="7EE48058" w14:textId="77777777" w:rsidR="00694FA4" w:rsidRPr="005B08A3" w:rsidRDefault="00694FA4" w:rsidP="00694FA4">
      <w:pPr>
        <w:spacing w:line="276" w:lineRule="auto"/>
        <w:jc w:val="both"/>
      </w:pPr>
      <w:r w:rsidRPr="005B08A3">
        <w:t>De overschrijding van de post overige diensten door derden is een saldo van diverse posten, met name:</w:t>
      </w:r>
    </w:p>
    <w:p w14:paraId="1F1CB5DE" w14:textId="77777777" w:rsidR="00694FA4" w:rsidRPr="005B08A3" w:rsidRDefault="00694FA4" w:rsidP="00694FA4">
      <w:pPr>
        <w:pStyle w:val="Lijstalinea"/>
        <w:numPr>
          <w:ilvl w:val="0"/>
          <w:numId w:val="9"/>
        </w:numPr>
        <w:spacing w:line="276" w:lineRule="auto"/>
        <w:ind w:left="284" w:hanging="284"/>
      </w:pPr>
      <w:r w:rsidRPr="005B08A3">
        <w:t>Transport en afzet van slib</w:t>
      </w:r>
    </w:p>
    <w:p w14:paraId="2B79CFE7" w14:textId="77777777" w:rsidR="00694FA4" w:rsidRPr="005B08A3" w:rsidRDefault="00694FA4" w:rsidP="00694FA4">
      <w:pPr>
        <w:pStyle w:val="Lijstalinea"/>
        <w:spacing w:line="276" w:lineRule="auto"/>
        <w:ind w:left="284"/>
      </w:pPr>
      <w:r w:rsidRPr="005B08A3">
        <w:t>De kosten voor transport en afzet van slib laten in 2023 een overschrijding zien van € 2,3 m</w:t>
      </w:r>
      <w:r>
        <w:t>i</w:t>
      </w:r>
      <w:r w:rsidRPr="005B08A3">
        <w:t>l</w:t>
      </w:r>
      <w:r>
        <w:t>joe</w:t>
      </w:r>
      <w:r w:rsidRPr="005B08A3">
        <w:t xml:space="preserve">n. Dit bedrag wordt volledig verklaard door hogere tarieven. Het proces aandeelhouderschap SNB liep vertraging op waardoor slib tegen een hoger tarief afgezet moest worden. De langere doorlooptijd van de exportvergunningen zorgde er ook voor dat slib in Friesland verwerkt moest worden. Daarnaast is een meevaller ontstaan van € 0,3 miljoen als gevolg van lager dan verwacht schadevergoedingsbedrag korrelafnemer. De partijen hebben een principeakkoord bereikt over een schadevergoedingsbedrag door WBL te betalen van </w:t>
      </w:r>
      <w:r w:rsidRPr="005B08A3">
        <w:rPr>
          <w:rFonts w:cs="Arial"/>
        </w:rPr>
        <w:t>€</w:t>
      </w:r>
      <w:r w:rsidRPr="005B08A3">
        <w:t xml:space="preserve"> 0,2 miljoen tegen finale kwijting.</w:t>
      </w:r>
    </w:p>
    <w:p w14:paraId="7B29AAFA" w14:textId="77777777" w:rsidR="00694FA4" w:rsidRPr="005B08A3" w:rsidRDefault="00694FA4" w:rsidP="00694FA4">
      <w:pPr>
        <w:pStyle w:val="Lijstalinea"/>
        <w:numPr>
          <w:ilvl w:val="0"/>
          <w:numId w:val="9"/>
        </w:numPr>
        <w:spacing w:line="276" w:lineRule="auto"/>
        <w:ind w:left="284" w:hanging="284"/>
      </w:pPr>
      <w:r w:rsidRPr="005B08A3">
        <w:t>Analysekosten</w:t>
      </w:r>
    </w:p>
    <w:p w14:paraId="089145C4" w14:textId="77777777" w:rsidR="00694FA4" w:rsidRPr="005B08A3" w:rsidRDefault="00694FA4" w:rsidP="00694FA4">
      <w:pPr>
        <w:pStyle w:val="Lijstalinea"/>
        <w:spacing w:line="276" w:lineRule="auto"/>
        <w:ind w:left="284"/>
      </w:pPr>
      <w:r w:rsidRPr="005B08A3">
        <w:t xml:space="preserve">De kosten voor het uitvoeren van analyses gebeurt door een geaccrediteerd laboratorium en omvat alle verplichte analyses voor het beoordelen van het </w:t>
      </w:r>
      <w:proofErr w:type="spellStart"/>
      <w:r w:rsidRPr="005B08A3">
        <w:t>influent</w:t>
      </w:r>
      <w:proofErr w:type="spellEnd"/>
      <w:r w:rsidRPr="005B08A3">
        <w:t xml:space="preserve">. Als gevolg van tariefstijgingen laat deze post ultimo december een overschrijding zien van € 0,4 miljoen. </w:t>
      </w:r>
    </w:p>
    <w:p w14:paraId="482E16F1" w14:textId="77777777" w:rsidR="00694FA4" w:rsidRPr="005B08A3" w:rsidRDefault="00694FA4" w:rsidP="00694FA4">
      <w:pPr>
        <w:pStyle w:val="Lijstalinea"/>
        <w:numPr>
          <w:ilvl w:val="0"/>
          <w:numId w:val="9"/>
        </w:numPr>
        <w:spacing w:line="276" w:lineRule="auto"/>
        <w:ind w:left="284" w:hanging="284"/>
        <w:jc w:val="both"/>
      </w:pPr>
      <w:r w:rsidRPr="005B08A3">
        <w:t>Extra kosten bediening Thermische Drukhydrolyse in Venlo</w:t>
      </w:r>
    </w:p>
    <w:p w14:paraId="2B32F1DF" w14:textId="77777777" w:rsidR="00694FA4" w:rsidRPr="007C37B3" w:rsidRDefault="00694FA4" w:rsidP="00694FA4">
      <w:pPr>
        <w:pStyle w:val="Lijstalinea"/>
        <w:spacing w:line="276" w:lineRule="auto"/>
        <w:ind w:left="284"/>
        <w:jc w:val="both"/>
      </w:pPr>
      <w:r w:rsidRPr="005B08A3">
        <w:t>Als gevolg van de uitzonderlijke hoge inflatie zijn de kosten voor de bediening en onderhoud van de TDH in Venlo € 0,2 miljoen hoger dan in de begroting 2023 is opgenomen.</w:t>
      </w:r>
    </w:p>
    <w:p w14:paraId="5C75B514" w14:textId="77777777" w:rsidR="00694FA4" w:rsidRDefault="00694FA4" w:rsidP="00694FA4">
      <w:pPr>
        <w:pStyle w:val="inspringstandaard"/>
        <w:ind w:left="0"/>
        <w:rPr>
          <w:highlight w:val="yellow"/>
        </w:rPr>
      </w:pPr>
    </w:p>
    <w:p w14:paraId="2AB09B88" w14:textId="77777777" w:rsidR="00694FA4" w:rsidRPr="002E1870" w:rsidRDefault="00694FA4" w:rsidP="00694FA4">
      <w:pPr>
        <w:pStyle w:val="inspringstandaard"/>
        <w:ind w:left="0"/>
      </w:pPr>
      <w:r w:rsidRPr="002E1870">
        <w:t>Algemeen kan gesteld worden dat de overschrijding bij de onderhoudskosten grotendeels niet incidenteel is, maar mede een gevolg is van de hoger dan begrote inflatie over de hele linie. De overschrijding van de onderhoudskosten wordt grotendeels veroorzaakt door:</w:t>
      </w:r>
    </w:p>
    <w:p w14:paraId="544B6D06" w14:textId="77777777" w:rsidR="00694FA4" w:rsidRPr="005C141C" w:rsidRDefault="00694FA4" w:rsidP="00694FA4">
      <w:pPr>
        <w:pStyle w:val="Lijstalinea"/>
        <w:numPr>
          <w:ilvl w:val="0"/>
          <w:numId w:val="9"/>
        </w:numPr>
        <w:spacing w:line="276" w:lineRule="auto"/>
        <w:ind w:left="284" w:hanging="284"/>
        <w:jc w:val="both"/>
      </w:pPr>
      <w:r w:rsidRPr="005C141C">
        <w:t>Onderhoudskosten RWZI</w:t>
      </w:r>
    </w:p>
    <w:p w14:paraId="6CA256FE" w14:textId="77777777" w:rsidR="00694FA4" w:rsidRPr="00A40985" w:rsidRDefault="00694FA4" w:rsidP="00694FA4">
      <w:pPr>
        <w:pStyle w:val="Lijstalinea"/>
        <w:spacing w:line="276" w:lineRule="auto"/>
        <w:ind w:left="284"/>
        <w:jc w:val="both"/>
      </w:pPr>
      <w:r w:rsidRPr="005C141C">
        <w:t>De onderhoudskosten voor de RWZI’s laten over de gehele linie een overschrijding zien. Elektro onderhoud overschrijdt de begroting met € 0,</w:t>
      </w:r>
      <w:r w:rsidRPr="00A40985">
        <w:t>5 miljoen en mechanisch onderhoud met € 0,3 miljoen. Zoals aangegeven is dit vooral het gevolg van indexeringen.</w:t>
      </w:r>
    </w:p>
    <w:p w14:paraId="2AF049FB" w14:textId="77777777" w:rsidR="00694FA4" w:rsidRPr="00A40985" w:rsidRDefault="00694FA4" w:rsidP="00694FA4">
      <w:pPr>
        <w:pStyle w:val="Lijstalinea"/>
        <w:numPr>
          <w:ilvl w:val="0"/>
          <w:numId w:val="9"/>
        </w:numPr>
        <w:spacing w:line="276" w:lineRule="auto"/>
        <w:ind w:left="284" w:hanging="284"/>
        <w:jc w:val="both"/>
      </w:pPr>
      <w:r w:rsidRPr="00A40985">
        <w:t>Onderhoudsvoorziening</w:t>
      </w:r>
    </w:p>
    <w:p w14:paraId="5F52F7D3" w14:textId="77777777" w:rsidR="00694FA4" w:rsidRPr="00A40985" w:rsidRDefault="00694FA4" w:rsidP="00694FA4">
      <w:pPr>
        <w:pStyle w:val="Lijstalinea"/>
        <w:spacing w:line="276" w:lineRule="auto"/>
        <w:ind w:left="284"/>
        <w:jc w:val="both"/>
      </w:pPr>
      <w:r w:rsidRPr="00A40985">
        <w:t>Het AB WBL heeft 01-03-2023 ingestemd met het vormen van een onderhoudsvoorziening groot onderhoud kantoorgebouw. De dotatie aan de voorziening is in het 2</w:t>
      </w:r>
      <w:r w:rsidRPr="00A40985">
        <w:rPr>
          <w:vertAlign w:val="superscript"/>
        </w:rPr>
        <w:t>e</w:t>
      </w:r>
      <w:r w:rsidRPr="00A40985">
        <w:t xml:space="preserve"> kwartaal geboekt en leidt op jaarbasis tot een toegestane overschrijding van € 120k.</w:t>
      </w:r>
    </w:p>
    <w:p w14:paraId="0CFA4B19" w14:textId="77777777" w:rsidR="00694FA4" w:rsidRPr="00A40985" w:rsidRDefault="00694FA4" w:rsidP="00694FA4">
      <w:pPr>
        <w:pStyle w:val="inspringstandaard"/>
        <w:ind w:left="0"/>
      </w:pPr>
      <w:r w:rsidRPr="00A40985">
        <w:t xml:space="preserve">De totale personeelskosten (inclusief inhuur) zijn € 1,7 miljoen hoger dan begroot. De overschrijding wordt vooral veroorzaakt door de CAO effecten </w:t>
      </w:r>
      <w:r w:rsidRPr="00A40985">
        <w:rPr>
          <w:szCs w:val="20"/>
        </w:rPr>
        <w:t>2022/2023 en de post inhuur derden. De CAO effecten zijn hoger dan op basis van de rekenuitgangspunten zijn meegenomen in de begroting 2023.</w:t>
      </w:r>
    </w:p>
    <w:p w14:paraId="791FB1B4" w14:textId="77777777" w:rsidR="00694FA4" w:rsidRPr="00B17DC3" w:rsidRDefault="00694FA4" w:rsidP="00694FA4">
      <w:pPr>
        <w:pStyle w:val="inspringstandaard"/>
        <w:ind w:left="0"/>
        <w:rPr>
          <w:highlight w:val="yellow"/>
        </w:rPr>
      </w:pPr>
    </w:p>
    <w:p w14:paraId="4FF14C5D" w14:textId="77777777" w:rsidR="00694FA4" w:rsidRPr="00735B03" w:rsidRDefault="00694FA4" w:rsidP="00694FA4">
      <w:pPr>
        <w:pStyle w:val="inspringstandaard"/>
        <w:ind w:left="0"/>
      </w:pPr>
      <w:r w:rsidRPr="00735B03">
        <w:lastRenderedPageBreak/>
        <w:t>De overschrijding van de kosten van overige gebruiks- en verbruiksgoederen (afgerond € 0,7 miljoen) betreft met name het gebruik van chemicaliën. Als gevolg van een verbetering in de procesvoering is het verbruik in volumes weliswaar afgenomen, maar dit effect wordt volledig teniet gedaan door tariefstijgingen.</w:t>
      </w:r>
    </w:p>
    <w:p w14:paraId="770B5CEE" w14:textId="77777777" w:rsidR="00694FA4" w:rsidRPr="00B17DC3" w:rsidRDefault="00694FA4" w:rsidP="00694FA4">
      <w:pPr>
        <w:pStyle w:val="inspringstandaard"/>
        <w:ind w:left="0"/>
        <w:rPr>
          <w:highlight w:val="yellow"/>
        </w:rPr>
      </w:pPr>
    </w:p>
    <w:p w14:paraId="09F90BCD" w14:textId="77777777" w:rsidR="00694FA4" w:rsidRPr="00B17DC3" w:rsidRDefault="00694FA4" w:rsidP="00694FA4">
      <w:pPr>
        <w:pStyle w:val="inspringstandaard"/>
        <w:ind w:left="0"/>
        <w:rPr>
          <w:highlight w:val="yellow"/>
        </w:rPr>
      </w:pPr>
      <w:r>
        <w:rPr>
          <w:szCs w:val="20"/>
        </w:rPr>
        <w:t>De hogere energietarieven verklaren een overschrijding van € 0,8 miljoen. B</w:t>
      </w:r>
      <w:r w:rsidRPr="00982DB2">
        <w:rPr>
          <w:szCs w:val="20"/>
        </w:rPr>
        <w:t xml:space="preserve">ijkomend gevolg is een bijstelling van de verwachte SDE subsidie </w:t>
      </w:r>
      <w:r>
        <w:rPr>
          <w:szCs w:val="20"/>
        </w:rPr>
        <w:t xml:space="preserve">van € 0,6 miljoen </w:t>
      </w:r>
      <w:r w:rsidRPr="00982DB2">
        <w:rPr>
          <w:szCs w:val="20"/>
        </w:rPr>
        <w:t>naar € 0.</w:t>
      </w:r>
    </w:p>
    <w:p w14:paraId="32467C55" w14:textId="77777777" w:rsidR="00694FA4" w:rsidRPr="00495934" w:rsidRDefault="00694FA4" w:rsidP="00694FA4">
      <w:pPr>
        <w:pStyle w:val="inspringstandaard"/>
        <w:ind w:left="0"/>
      </w:pPr>
    </w:p>
    <w:p w14:paraId="551C9FF2" w14:textId="77777777" w:rsidR="00694FA4" w:rsidRPr="0026177D" w:rsidRDefault="00694FA4" w:rsidP="00694FA4">
      <w:pPr>
        <w:pStyle w:val="inspringstandaard"/>
        <w:ind w:left="0"/>
      </w:pPr>
      <w:r w:rsidRPr="00495934">
        <w:t>De overschrijdingen van met name salariskosten, energiekosten en kosten chemicaliën zijn het logische gevolg van de gestegen tarieven (zie ook winstwaarschuwing 2023 en MJR 2024). Deze posten zijn het gevolg van externe, niet beïnvloedbare effecten zoals eerder beschreven en opgenomen in de ontwerp MJR 2024-2033 en Begroting 2024.</w:t>
      </w:r>
    </w:p>
    <w:p w14:paraId="5C8CD963" w14:textId="77777777" w:rsidR="00694FA4" w:rsidRPr="008E2BFA" w:rsidRDefault="00694FA4" w:rsidP="00694FA4">
      <w:pPr>
        <w:spacing w:line="276" w:lineRule="auto"/>
        <w:jc w:val="both"/>
        <w:rPr>
          <w:i/>
        </w:rPr>
      </w:pPr>
      <w:r w:rsidRPr="008E2BFA">
        <w:rPr>
          <w:i/>
        </w:rPr>
        <w:t>Kapitaallasten</w:t>
      </w:r>
    </w:p>
    <w:p w14:paraId="227C91B2" w14:textId="77777777" w:rsidR="00694FA4" w:rsidRPr="008E2BFA" w:rsidRDefault="00694FA4" w:rsidP="00694FA4">
      <w:pPr>
        <w:pStyle w:val="paragraph"/>
        <w:spacing w:before="0" w:beforeAutospacing="0" w:after="0" w:afterAutospacing="0" w:line="276" w:lineRule="auto"/>
        <w:textAlignment w:val="baseline"/>
        <w:rPr>
          <w:rFonts w:ascii="Arial" w:eastAsiaTheme="minorHAnsi" w:hAnsi="Arial" w:cs="Arial"/>
          <w:sz w:val="20"/>
          <w:szCs w:val="20"/>
          <w:lang w:eastAsia="en-US"/>
        </w:rPr>
      </w:pPr>
      <w:r w:rsidRPr="008E2BFA">
        <w:rPr>
          <w:rFonts w:ascii="Arial" w:eastAsiaTheme="minorHAnsi" w:hAnsi="Arial" w:cs="Arial"/>
          <w:sz w:val="20"/>
          <w:szCs w:val="20"/>
          <w:lang w:eastAsia="en-US"/>
        </w:rPr>
        <w:t>De kapitaallasten zijn ultimo december 2023 afgerond € 2,5 miljoen lager dan begroot.</w:t>
      </w:r>
    </w:p>
    <w:p w14:paraId="1FEE0E44" w14:textId="77777777" w:rsidR="00694FA4" w:rsidRPr="008E2BFA" w:rsidRDefault="00694FA4" w:rsidP="00694FA4">
      <w:pPr>
        <w:pStyle w:val="paragraph"/>
        <w:spacing w:before="0" w:beforeAutospacing="0" w:after="0" w:afterAutospacing="0" w:line="276" w:lineRule="auto"/>
        <w:textAlignment w:val="baseline"/>
        <w:rPr>
          <w:rFonts w:ascii="Arial" w:eastAsiaTheme="minorHAnsi" w:hAnsi="Arial" w:cs="Arial"/>
          <w:sz w:val="20"/>
          <w:szCs w:val="20"/>
          <w:lang w:eastAsia="en-US"/>
        </w:rPr>
      </w:pPr>
      <w:r w:rsidRPr="008E2BFA">
        <w:rPr>
          <w:rFonts w:ascii="Arial" w:eastAsiaTheme="minorHAnsi" w:hAnsi="Arial" w:cs="Arial"/>
          <w:sz w:val="20"/>
          <w:szCs w:val="20"/>
          <w:lang w:eastAsia="en-US"/>
        </w:rPr>
        <w:t>  </w:t>
      </w:r>
    </w:p>
    <w:p w14:paraId="0AA60DD0" w14:textId="77777777" w:rsidR="00694FA4" w:rsidRPr="008E2BFA" w:rsidRDefault="00694FA4" w:rsidP="00694FA4">
      <w:pPr>
        <w:pStyle w:val="paragraph"/>
        <w:spacing w:before="0" w:beforeAutospacing="0" w:after="0" w:afterAutospacing="0" w:line="276" w:lineRule="auto"/>
        <w:textAlignment w:val="baseline"/>
        <w:rPr>
          <w:rFonts w:ascii="Arial" w:eastAsiaTheme="minorHAnsi" w:hAnsi="Arial" w:cs="Arial"/>
          <w:sz w:val="20"/>
          <w:szCs w:val="20"/>
          <w:lang w:eastAsia="en-US"/>
        </w:rPr>
      </w:pPr>
      <w:bookmarkStart w:id="7" w:name="OLE_LINK1"/>
      <w:r w:rsidRPr="008E2BFA">
        <w:rPr>
          <w:rFonts w:ascii="Arial" w:eastAsiaTheme="minorHAnsi" w:hAnsi="Arial" w:cs="Arial"/>
          <w:sz w:val="20"/>
          <w:szCs w:val="20"/>
          <w:lang w:eastAsia="en-US"/>
        </w:rPr>
        <w:t>De afschrijvingskosten zijn in 2023 ruim € 2,4 miljoen lager uitgevallen dan begroot. Belangrijkste oorzaak voor deze onderschrijding is een lager dan begroot investeringsniveau voor zowel 2022 en 2023</w:t>
      </w:r>
      <w:bookmarkEnd w:id="7"/>
      <w:r w:rsidRPr="008E2BFA">
        <w:rPr>
          <w:rFonts w:ascii="Arial" w:eastAsiaTheme="minorHAnsi" w:hAnsi="Arial" w:cs="Arial"/>
          <w:sz w:val="20"/>
          <w:szCs w:val="20"/>
          <w:lang w:eastAsia="en-US"/>
        </w:rPr>
        <w:t>. In 2022 was € 29 miljoen geïnvesteerd waar in de begroting rekening was gehouden met € 45 miljoen en in 2023 is € 27,7 miljoen geïnvesteerd en daarmee € 13,5 miljoen lager dan begroot. Hierdoor zijn de reguliere afschrijvingskosten lager uitgevallen dan begroot.</w:t>
      </w:r>
    </w:p>
    <w:p w14:paraId="1F6CA680" w14:textId="77777777" w:rsidR="00694FA4" w:rsidRPr="008E2BFA" w:rsidRDefault="00694FA4" w:rsidP="00694FA4">
      <w:pPr>
        <w:pStyle w:val="paragraph"/>
        <w:spacing w:before="0" w:beforeAutospacing="0" w:after="0" w:afterAutospacing="0" w:line="276" w:lineRule="auto"/>
        <w:textAlignment w:val="baseline"/>
        <w:rPr>
          <w:rFonts w:ascii="Arial" w:eastAsiaTheme="minorHAnsi" w:hAnsi="Arial" w:cs="Arial"/>
          <w:sz w:val="20"/>
          <w:szCs w:val="20"/>
          <w:lang w:eastAsia="en-US"/>
        </w:rPr>
      </w:pPr>
      <w:r w:rsidRPr="008E2BFA">
        <w:rPr>
          <w:rFonts w:ascii="Arial" w:eastAsiaTheme="minorHAnsi" w:hAnsi="Arial" w:cs="Arial"/>
          <w:sz w:val="20"/>
          <w:szCs w:val="20"/>
          <w:lang w:eastAsia="en-US"/>
        </w:rPr>
        <w:t>  </w:t>
      </w:r>
    </w:p>
    <w:p w14:paraId="263C5059" w14:textId="77777777" w:rsidR="00694FA4" w:rsidRDefault="00694FA4" w:rsidP="00694FA4">
      <w:pPr>
        <w:pStyle w:val="paragraph"/>
        <w:spacing w:before="0" w:beforeAutospacing="0" w:after="0" w:afterAutospacing="0" w:line="276" w:lineRule="auto"/>
        <w:textAlignment w:val="baseline"/>
        <w:rPr>
          <w:rFonts w:ascii="Arial" w:eastAsiaTheme="minorHAnsi" w:hAnsi="Arial" w:cs="Arial"/>
          <w:sz w:val="20"/>
          <w:szCs w:val="20"/>
          <w:lang w:eastAsia="en-US"/>
        </w:rPr>
      </w:pPr>
      <w:r w:rsidRPr="00215B21">
        <w:rPr>
          <w:rFonts w:ascii="Arial" w:eastAsiaTheme="minorHAnsi" w:hAnsi="Arial" w:cs="Arial"/>
          <w:sz w:val="20"/>
          <w:szCs w:val="20"/>
          <w:lang w:eastAsia="en-US"/>
        </w:rPr>
        <w:t>De rentekosten zijn ultimo december 2023 met een realisatie van € 3,3 miljoen iets lager (€ 0,1 miljoen) dan begroot. Dit wordt veroorzaakt door een begrote, maar als gevolg van de lagere dan geraamde investeringen 2022, niet aangetrokken langlopende lening eind 2022.</w:t>
      </w:r>
    </w:p>
    <w:p w14:paraId="72E3239F" w14:textId="77777777" w:rsidR="00694FA4" w:rsidRDefault="00694FA4" w:rsidP="00694FA4">
      <w:pPr>
        <w:pStyle w:val="paragraph"/>
        <w:spacing w:before="0" w:beforeAutospacing="0" w:after="0" w:afterAutospacing="0" w:line="276" w:lineRule="auto"/>
        <w:textAlignment w:val="baseline"/>
        <w:rPr>
          <w:rFonts w:ascii="Arial" w:eastAsiaTheme="minorHAnsi" w:hAnsi="Arial" w:cstheme="minorBidi"/>
          <w:sz w:val="20"/>
          <w:szCs w:val="22"/>
          <w:lang w:eastAsia="en-US"/>
        </w:rPr>
      </w:pPr>
    </w:p>
    <w:p w14:paraId="0EDA7AEF" w14:textId="77777777" w:rsidR="00694FA4" w:rsidRDefault="00694FA4" w:rsidP="00694FA4">
      <w:pPr>
        <w:spacing w:line="276" w:lineRule="auto"/>
        <w:rPr>
          <w:rStyle w:val="normaltextrun"/>
          <w:rFonts w:cs="Arial"/>
          <w:color w:val="000000"/>
          <w:szCs w:val="20"/>
          <w:shd w:val="clear" w:color="auto" w:fill="FFFFFF"/>
        </w:rPr>
      </w:pPr>
      <w:r>
        <w:rPr>
          <w:rStyle w:val="normaltextrun"/>
          <w:rFonts w:cs="Arial"/>
          <w:color w:val="000000"/>
          <w:szCs w:val="20"/>
          <w:shd w:val="clear" w:color="auto" w:fill="FFFFFF"/>
        </w:rPr>
        <w:t>Samenvattend kan gesteld worden dat, gecorrigeerd voor alle externe niet beïnvloedbare mee- en tegenvallers, de stuurbare (beïnvloedbare) reguliere bedrijfsvoering conform begroting is uitgekomen. In tabelvorm ziet dit er als volgt uit.</w:t>
      </w:r>
    </w:p>
    <w:p w14:paraId="6EAAD327" w14:textId="77777777" w:rsidR="00694FA4" w:rsidRDefault="00694FA4" w:rsidP="00694FA4">
      <w:pPr>
        <w:spacing w:line="276" w:lineRule="auto"/>
        <w:rPr>
          <w:rStyle w:val="normaltextrun"/>
          <w:rFonts w:cs="Arial"/>
          <w:color w:val="000000"/>
          <w:szCs w:val="20"/>
          <w:shd w:val="clear" w:color="auto" w:fill="FFFFFF"/>
        </w:rPr>
      </w:pPr>
    </w:p>
    <w:p w14:paraId="2A735F14" w14:textId="77777777" w:rsidR="00694FA4" w:rsidRPr="00754455" w:rsidRDefault="00694FA4" w:rsidP="00694FA4">
      <w:pPr>
        <w:spacing w:line="276" w:lineRule="auto"/>
      </w:pPr>
      <w:r w:rsidRPr="00BE0B79">
        <w:rPr>
          <w:noProof/>
        </w:rPr>
        <w:drawing>
          <wp:inline distT="0" distB="0" distL="0" distR="0" wp14:anchorId="371C65AA" wp14:editId="5774FF47">
            <wp:extent cx="3777058" cy="2924175"/>
            <wp:effectExtent l="0" t="0" r="0" b="0"/>
            <wp:docPr id="802265490" name="Afbeelding 80226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5866" cy="2930994"/>
                    </a:xfrm>
                    <a:prstGeom prst="rect">
                      <a:avLst/>
                    </a:prstGeom>
                    <a:noFill/>
                    <a:ln>
                      <a:noFill/>
                    </a:ln>
                  </pic:spPr>
                </pic:pic>
              </a:graphicData>
            </a:graphic>
          </wp:inline>
        </w:drawing>
      </w:r>
    </w:p>
    <w:p w14:paraId="271348ED" w14:textId="77777777" w:rsidR="00694FA4" w:rsidRDefault="00694FA4" w:rsidP="00694FA4">
      <w:pPr>
        <w:pStyle w:val="paragraph"/>
        <w:spacing w:before="0" w:beforeAutospacing="0" w:after="0" w:afterAutospacing="0" w:line="276" w:lineRule="auto"/>
        <w:textAlignment w:val="baseline"/>
        <w:rPr>
          <w:rFonts w:ascii="Arial" w:eastAsiaTheme="minorHAnsi" w:hAnsi="Arial" w:cstheme="minorBidi"/>
          <w:sz w:val="20"/>
          <w:szCs w:val="22"/>
          <w:lang w:eastAsia="en-US"/>
        </w:rPr>
      </w:pPr>
    </w:p>
    <w:p w14:paraId="29E16A97" w14:textId="77777777" w:rsidR="00694FA4" w:rsidRDefault="00694FA4" w:rsidP="00694FA4">
      <w:pPr>
        <w:pStyle w:val="paragraph"/>
        <w:spacing w:before="0" w:beforeAutospacing="0" w:after="0" w:afterAutospacing="0" w:line="276" w:lineRule="auto"/>
        <w:textAlignment w:val="baseline"/>
        <w:rPr>
          <w:rFonts w:ascii="Arial" w:eastAsiaTheme="minorHAnsi" w:hAnsi="Arial" w:cstheme="minorBidi"/>
          <w:sz w:val="20"/>
          <w:szCs w:val="22"/>
          <w:lang w:eastAsia="en-US"/>
        </w:rPr>
      </w:pPr>
    </w:p>
    <w:p w14:paraId="384989CB" w14:textId="77777777" w:rsidR="001E19FC" w:rsidRDefault="001E19FC" w:rsidP="00694FA4">
      <w:pPr>
        <w:pStyle w:val="paragraph"/>
        <w:spacing w:before="0" w:beforeAutospacing="0" w:after="0" w:afterAutospacing="0" w:line="276" w:lineRule="auto"/>
        <w:textAlignment w:val="baseline"/>
        <w:rPr>
          <w:rFonts w:ascii="Arial" w:eastAsiaTheme="minorHAnsi" w:hAnsi="Arial" w:cstheme="minorBidi"/>
          <w:sz w:val="20"/>
          <w:szCs w:val="22"/>
          <w:lang w:eastAsia="en-US"/>
        </w:rPr>
      </w:pPr>
    </w:p>
    <w:p w14:paraId="1911ED22" w14:textId="77777777" w:rsidR="001E19FC" w:rsidRPr="008E2BFA" w:rsidRDefault="001E19FC" w:rsidP="00694FA4">
      <w:pPr>
        <w:pStyle w:val="paragraph"/>
        <w:spacing w:before="0" w:beforeAutospacing="0" w:after="0" w:afterAutospacing="0" w:line="276" w:lineRule="auto"/>
        <w:textAlignment w:val="baseline"/>
        <w:rPr>
          <w:rFonts w:ascii="Arial" w:eastAsiaTheme="minorHAnsi" w:hAnsi="Arial" w:cstheme="minorBidi"/>
          <w:sz w:val="20"/>
          <w:szCs w:val="22"/>
          <w:lang w:eastAsia="en-US"/>
        </w:rPr>
      </w:pPr>
    </w:p>
    <w:p w14:paraId="47C2E910" w14:textId="77777777" w:rsidR="00694FA4" w:rsidRPr="00114084" w:rsidRDefault="00694FA4" w:rsidP="00694FA4">
      <w:pPr>
        <w:spacing w:line="276" w:lineRule="auto"/>
        <w:jc w:val="both"/>
        <w:rPr>
          <w:i/>
        </w:rPr>
      </w:pPr>
      <w:r w:rsidRPr="00114084">
        <w:rPr>
          <w:i/>
        </w:rPr>
        <w:lastRenderedPageBreak/>
        <w:t>Innovatiebudget</w:t>
      </w:r>
    </w:p>
    <w:p w14:paraId="1B73EC39" w14:textId="77777777" w:rsidR="00694FA4" w:rsidRDefault="00694FA4" w:rsidP="00694FA4">
      <w:pPr>
        <w:spacing w:line="276" w:lineRule="auto"/>
      </w:pPr>
      <w:r w:rsidRPr="00114084">
        <w:t>Ultimo december is afgerond € 2,7 miljoen benut van het innovatiebudget en is daarmee € 0,2 miljoen hoger dan begroot. Deze overschrijding is het gevolg van het versneld en extra uitvoeren van activiteiten binnen diverse innovaties</w:t>
      </w:r>
      <w:r>
        <w:t xml:space="preserve">. </w:t>
      </w:r>
    </w:p>
    <w:p w14:paraId="4939FF47" w14:textId="77777777" w:rsidR="00694FA4" w:rsidRPr="00114084" w:rsidRDefault="00694FA4" w:rsidP="00694FA4">
      <w:pPr>
        <w:spacing w:line="276" w:lineRule="auto"/>
      </w:pPr>
      <w:r>
        <w:rPr>
          <w:rFonts w:cs="Arial"/>
          <w:color w:val="000000"/>
          <w:szCs w:val="20"/>
        </w:rPr>
        <w:t>De meeste uitgaven zijn gedaan op het gebied van Big data en het Datamodel. Bij beide innovaties is WBL versneld aan het werken. Onder andere aan troebelheidsmetingen op het slib om de slibproductie in Susteren te optimaliseren en het project WIMPI (Gegevensmodel). Daarnaast zijn de architectuurmodellen verfijnd om changes op procesautomatisering te beheersen en de beschikbaarheid van het primaire proces verder te optimaliseren.</w:t>
      </w:r>
    </w:p>
    <w:p w14:paraId="510325F4" w14:textId="4976D096" w:rsidR="00694FA4" w:rsidRDefault="00694FA4" w:rsidP="00694FA4">
      <w:pPr>
        <w:spacing w:line="276" w:lineRule="auto"/>
      </w:pPr>
      <w:r w:rsidRPr="00114084">
        <w:t>Voor de overschrijding op de innovatiekosten kan worden geopteerd om hiervoor de bestaande bestemmingsreserve innovatie (huidige waarde € 0,2 miljoen) te benutten.</w:t>
      </w:r>
    </w:p>
    <w:p w14:paraId="58C6244E" w14:textId="119C9F29" w:rsidR="00694FA4" w:rsidRPr="00A42601" w:rsidRDefault="00694FA4" w:rsidP="00694FA4">
      <w:pPr>
        <w:spacing w:line="276" w:lineRule="auto"/>
      </w:pPr>
      <w:r w:rsidRPr="00A42601">
        <w:rPr>
          <w:i/>
        </w:rPr>
        <w:t>Winstwaarschuwing 2024</w:t>
      </w:r>
    </w:p>
    <w:p w14:paraId="446BAD29" w14:textId="77777777" w:rsidR="00694FA4" w:rsidRDefault="00694FA4" w:rsidP="00694FA4">
      <w:pPr>
        <w:spacing w:line="276" w:lineRule="auto"/>
        <w:rPr>
          <w:rStyle w:val="normaltextrun"/>
          <w:rFonts w:cs="Arial"/>
          <w:color w:val="000000"/>
          <w:szCs w:val="20"/>
          <w:bdr w:val="none" w:sz="0" w:space="0" w:color="auto" w:frame="1"/>
        </w:rPr>
      </w:pPr>
      <w:r w:rsidRPr="00A42601">
        <w:t xml:space="preserve">In de vorige directierapportages is reeds een winstwaarschuwing afgegeven inzake de verwachte kostenoverschrijding in 2023. Voor een groot deel van deze posten is aanvullend budget gevraagd in de ontwerp MJR 2024-2033 en Begroting 2024. </w:t>
      </w:r>
      <w:r w:rsidRPr="00A42601">
        <w:rPr>
          <w:rStyle w:val="normaltextrun"/>
          <w:rFonts w:cs="Arial"/>
          <w:color w:val="000000"/>
          <w:szCs w:val="20"/>
          <w:bdr w:val="none" w:sz="0" w:space="0" w:color="auto" w:frame="1"/>
        </w:rPr>
        <w:t xml:space="preserve">Echter, </w:t>
      </w:r>
      <w:r>
        <w:rPr>
          <w:rStyle w:val="normaltextrun"/>
          <w:rFonts w:cs="Arial"/>
          <w:color w:val="000000"/>
          <w:szCs w:val="20"/>
          <w:bdr w:val="none" w:sz="0" w:space="0" w:color="auto" w:frame="1"/>
        </w:rPr>
        <w:t xml:space="preserve">sinds de opmaak van de MJR 2024 speelt een aantal ontwikkelingen die de moeite van het melden waard zijn. </w:t>
      </w:r>
    </w:p>
    <w:p w14:paraId="71DEE79E" w14:textId="77777777" w:rsidR="00694FA4" w:rsidRPr="00E81255" w:rsidRDefault="00694FA4" w:rsidP="00694FA4">
      <w:pPr>
        <w:spacing w:line="276" w:lineRule="auto"/>
      </w:pPr>
      <w:r>
        <w:rPr>
          <w:rStyle w:val="normaltextrun"/>
          <w:rFonts w:cs="Arial"/>
          <w:color w:val="000000"/>
          <w:szCs w:val="20"/>
          <w:bdr w:val="none" w:sz="0" w:space="0" w:color="auto" w:frame="1"/>
        </w:rPr>
        <w:t xml:space="preserve">Zo zullen de personeelskosten als gevolg van de CAO afspraken in 2024 hoger gaan uitvallen. De hoger dan verwachte indexering van de analysekosten werkt ook door in 2024. Andere ontwikkeling is het bericht van de openbare Vlaamse Afvalstoffenmaatschappij met betrekking tot verminderen inname buitenlands slib in België. Deze laatste is nu nog onzeker, maar kan grote financiële gevolgen hebben (risicopost). Tevens is mogelijk sprake van aantal meevallers (bijvoorbeeld kapitaallasten). </w:t>
      </w:r>
      <w:r w:rsidRPr="00A42601">
        <w:t>Het</w:t>
      </w:r>
      <w:r>
        <w:t xml:space="preserve"> is daarom erg prematuur om reeds nu al een winstwaarschuwing af te geven voor 2024.</w:t>
      </w:r>
      <w:r w:rsidRPr="00A42601">
        <w:t xml:space="preserve"> </w:t>
      </w:r>
      <w:r>
        <w:t>Dit zal wel opgenomen worden in de voorjaarsrapportage 2024.</w:t>
      </w:r>
    </w:p>
    <w:p w14:paraId="0F687D8E" w14:textId="77777777" w:rsidR="00694FA4" w:rsidRDefault="00694FA4" w:rsidP="00694FA4">
      <w:pPr>
        <w:spacing w:after="0" w:line="276" w:lineRule="auto"/>
        <w:jc w:val="both"/>
        <w:rPr>
          <w:bCs/>
          <w:highlight w:val="yellow"/>
        </w:rPr>
      </w:pPr>
    </w:p>
    <w:p w14:paraId="36A56C74" w14:textId="77777777" w:rsidR="00694FA4" w:rsidRPr="00001E02" w:rsidRDefault="00694FA4" w:rsidP="00694FA4">
      <w:pPr>
        <w:spacing w:line="276" w:lineRule="auto"/>
        <w:jc w:val="both"/>
        <w:rPr>
          <w:i/>
        </w:rPr>
      </w:pPr>
      <w:r>
        <w:rPr>
          <w:i/>
        </w:rPr>
        <w:t xml:space="preserve">2.2 </w:t>
      </w:r>
      <w:proofErr w:type="spellStart"/>
      <w:r w:rsidRPr="00001E02">
        <w:rPr>
          <w:i/>
        </w:rPr>
        <w:t>Treasury</w:t>
      </w:r>
      <w:proofErr w:type="spellEnd"/>
    </w:p>
    <w:p w14:paraId="033E7D01" w14:textId="77777777" w:rsidR="00694FA4" w:rsidRPr="00CA190E" w:rsidRDefault="00694FA4" w:rsidP="00694FA4">
      <w:pPr>
        <w:spacing w:after="0" w:line="276" w:lineRule="auto"/>
        <w:jc w:val="both"/>
        <w:rPr>
          <w:bCs/>
          <w:i/>
          <w:iCs/>
        </w:rPr>
      </w:pPr>
      <w:r>
        <w:rPr>
          <w:bCs/>
          <w:i/>
          <w:iCs/>
        </w:rPr>
        <w:t>L</w:t>
      </w:r>
      <w:r w:rsidRPr="00CA190E">
        <w:rPr>
          <w:bCs/>
          <w:i/>
          <w:iCs/>
        </w:rPr>
        <w:t>eningen</w:t>
      </w:r>
    </w:p>
    <w:p w14:paraId="0F4E4132" w14:textId="77777777" w:rsidR="00694FA4" w:rsidRDefault="00694FA4" w:rsidP="00694FA4">
      <w:pPr>
        <w:spacing w:after="0" w:line="276" w:lineRule="auto"/>
        <w:jc w:val="both"/>
        <w:rPr>
          <w:bCs/>
        </w:rPr>
      </w:pPr>
      <w:r w:rsidRPr="002D6E60">
        <w:rPr>
          <w:bCs/>
        </w:rPr>
        <w:t>In de meerjarenraming 2023-2032 was rekening gehouden met een kapitaalbehoefte</w:t>
      </w:r>
      <w:r>
        <w:rPr>
          <w:bCs/>
        </w:rPr>
        <w:t xml:space="preserve"> (op basis van investeringen),</w:t>
      </w:r>
      <w:r w:rsidRPr="002D6E60">
        <w:rPr>
          <w:bCs/>
        </w:rPr>
        <w:t xml:space="preserve"> </w:t>
      </w:r>
      <w:r>
        <w:rPr>
          <w:bCs/>
        </w:rPr>
        <w:t xml:space="preserve">te dekken door langlopende leningen, ter grootte van </w:t>
      </w:r>
      <w:r w:rsidRPr="002D6E60">
        <w:rPr>
          <w:bCs/>
        </w:rPr>
        <w:t>€ 23 miljoen voor boekjaar 2023.</w:t>
      </w:r>
      <w:r>
        <w:rPr>
          <w:bCs/>
        </w:rPr>
        <w:t xml:space="preserve"> Deze dekking bestond uit 2 langlopende leningen:</w:t>
      </w:r>
    </w:p>
    <w:p w14:paraId="4827C6A0" w14:textId="77777777" w:rsidR="00694FA4" w:rsidRDefault="00694FA4" w:rsidP="00694FA4">
      <w:pPr>
        <w:pStyle w:val="Lijstalinea"/>
        <w:numPr>
          <w:ilvl w:val="0"/>
          <w:numId w:val="8"/>
        </w:numPr>
        <w:spacing w:after="0" w:line="276" w:lineRule="auto"/>
        <w:jc w:val="both"/>
        <w:rPr>
          <w:bCs/>
        </w:rPr>
      </w:pPr>
      <w:r>
        <w:rPr>
          <w:bCs/>
        </w:rPr>
        <w:t>Een in 2019 aangetrokken lening (20 jarig, lineair) met uitgestelde stortingsdatum ter grootte van € 17,0 miljoen (0,725%);</w:t>
      </w:r>
    </w:p>
    <w:p w14:paraId="38FBC017" w14:textId="77777777" w:rsidR="00694FA4" w:rsidRPr="00FB03FB" w:rsidRDefault="00694FA4" w:rsidP="00694FA4">
      <w:pPr>
        <w:pStyle w:val="Lijstalinea"/>
        <w:numPr>
          <w:ilvl w:val="0"/>
          <w:numId w:val="8"/>
        </w:numPr>
        <w:spacing w:after="0" w:line="276" w:lineRule="auto"/>
        <w:jc w:val="both"/>
        <w:rPr>
          <w:bCs/>
        </w:rPr>
      </w:pPr>
      <w:r>
        <w:rPr>
          <w:bCs/>
        </w:rPr>
        <w:t>Een nog af te sluiten langlopende lening per 1december 2023 (20 jarig, lineair) ter grootte van € 6,0 miljoen (1,5%).</w:t>
      </w:r>
    </w:p>
    <w:p w14:paraId="2D0515A3" w14:textId="77777777" w:rsidR="00694FA4" w:rsidRPr="00C429D6" w:rsidRDefault="00694FA4" w:rsidP="00694FA4">
      <w:pPr>
        <w:spacing w:after="0" w:line="276" w:lineRule="auto"/>
        <w:jc w:val="both"/>
        <w:rPr>
          <w:bCs/>
        </w:rPr>
      </w:pPr>
      <w:r w:rsidRPr="00C429D6">
        <w:rPr>
          <w:bCs/>
        </w:rPr>
        <w:t>Als gevolg van de lagere dan geraamde investeringsuitgaven is de lening ter grootte € 6,0 m</w:t>
      </w:r>
      <w:r>
        <w:rPr>
          <w:bCs/>
        </w:rPr>
        <w:t>i</w:t>
      </w:r>
      <w:r w:rsidRPr="00C429D6">
        <w:rPr>
          <w:bCs/>
        </w:rPr>
        <w:t>l</w:t>
      </w:r>
      <w:r>
        <w:rPr>
          <w:bCs/>
        </w:rPr>
        <w:t>joe</w:t>
      </w:r>
      <w:r w:rsidRPr="00C429D6">
        <w:rPr>
          <w:bCs/>
        </w:rPr>
        <w:t>n niet aangetrokken.</w:t>
      </w:r>
    </w:p>
    <w:p w14:paraId="371BDB8B" w14:textId="77777777" w:rsidR="00694FA4" w:rsidRDefault="00694FA4" w:rsidP="00694FA4">
      <w:pPr>
        <w:spacing w:after="0" w:line="276" w:lineRule="auto"/>
        <w:jc w:val="both"/>
        <w:rPr>
          <w:bCs/>
          <w:highlight w:val="cyan"/>
        </w:rPr>
      </w:pPr>
    </w:p>
    <w:p w14:paraId="42C2285B" w14:textId="77777777" w:rsidR="00694FA4" w:rsidRDefault="00694FA4" w:rsidP="00694FA4">
      <w:pPr>
        <w:spacing w:after="0" w:line="276" w:lineRule="auto"/>
        <w:jc w:val="both"/>
        <w:rPr>
          <w:bCs/>
          <w:highlight w:val="cyan"/>
        </w:rPr>
      </w:pPr>
      <w:r>
        <w:rPr>
          <w:szCs w:val="20"/>
        </w:rPr>
        <w:t>In 2023 zijn geen kasgeldleningen aangetrokken. Gemiddeld genomen is de norm voor de kasgeldlimiet in geen van de vier kwartalen in 2023 overschreden.</w:t>
      </w:r>
    </w:p>
    <w:p w14:paraId="2D930220" w14:textId="77777777" w:rsidR="00694FA4" w:rsidRDefault="00694FA4" w:rsidP="00694FA4">
      <w:pPr>
        <w:pStyle w:val="Default"/>
        <w:rPr>
          <w:b/>
          <w:bCs/>
          <w:sz w:val="20"/>
          <w:szCs w:val="20"/>
        </w:rPr>
      </w:pPr>
    </w:p>
    <w:p w14:paraId="7BC56202" w14:textId="77777777" w:rsidR="00694FA4" w:rsidRDefault="00694FA4" w:rsidP="00694FA4">
      <w:pPr>
        <w:spacing w:line="276" w:lineRule="auto"/>
        <w:rPr>
          <w:szCs w:val="20"/>
        </w:rPr>
      </w:pPr>
      <w:r w:rsidRPr="00CA0168">
        <w:rPr>
          <w:i/>
        </w:rPr>
        <w:t>Schatkistbankieren</w:t>
      </w:r>
      <w:r>
        <w:rPr>
          <w:b/>
          <w:bCs/>
          <w:szCs w:val="20"/>
        </w:rPr>
        <w:t xml:space="preserve"> </w:t>
      </w:r>
    </w:p>
    <w:p w14:paraId="5E4DE581" w14:textId="77777777" w:rsidR="00694FA4" w:rsidRDefault="00694FA4" w:rsidP="00694FA4">
      <w:pPr>
        <w:spacing w:after="0" w:line="276" w:lineRule="auto"/>
        <w:jc w:val="both"/>
        <w:rPr>
          <w:szCs w:val="20"/>
        </w:rPr>
      </w:pPr>
      <w:r>
        <w:rPr>
          <w:szCs w:val="20"/>
        </w:rPr>
        <w:t xml:space="preserve">Op 15 december 2013 is de wet verplicht schatkistbankieren van kracht geworden. Vanaf dat moment zijn alle decentrale overheden verplicht om hun overtollige middelen in de schatkist aan te houden voor zover die een drempelbedrag overschrijden (op basis van kwartaalgemiddelden). De calculatie voor bepalen drempelbedrag is 0,75 procent van de bruto-exploitatiekosten uit de begroting en bedroeg voor 2023 afgerond € 1,96 miljoen. In 2023 is tijdelijk gebruik gemaakt van schatkistbankieren. </w:t>
      </w:r>
    </w:p>
    <w:p w14:paraId="6D6A6C96" w14:textId="77777777" w:rsidR="00694FA4" w:rsidRPr="00B17DC3" w:rsidRDefault="00694FA4" w:rsidP="00694FA4">
      <w:pPr>
        <w:spacing w:after="0" w:line="276" w:lineRule="auto"/>
        <w:jc w:val="both"/>
        <w:rPr>
          <w:bCs/>
          <w:highlight w:val="yellow"/>
        </w:rPr>
      </w:pPr>
      <w:r>
        <w:rPr>
          <w:szCs w:val="20"/>
        </w:rPr>
        <w:lastRenderedPageBreak/>
        <w:t xml:space="preserve">Aan de regelgeving inzake schatkistbankieren is gedurende enkele dagen na storting van de langlopende lening ultimo november niet voldaan, waardoor de norm in </w:t>
      </w:r>
      <w:r w:rsidRPr="000B43EC">
        <w:rPr>
          <w:szCs w:val="20"/>
        </w:rPr>
        <w:t>het</w:t>
      </w:r>
      <w:r>
        <w:rPr>
          <w:szCs w:val="20"/>
        </w:rPr>
        <w:t xml:space="preserve"> 4</w:t>
      </w:r>
      <w:r w:rsidRPr="000B43EC">
        <w:rPr>
          <w:szCs w:val="20"/>
          <w:vertAlign w:val="superscript"/>
        </w:rPr>
        <w:t>e</w:t>
      </w:r>
      <w:r w:rsidRPr="000B43EC">
        <w:rPr>
          <w:sz w:val="13"/>
          <w:szCs w:val="13"/>
        </w:rPr>
        <w:t xml:space="preserve"> </w:t>
      </w:r>
      <w:r w:rsidRPr="000B43EC">
        <w:rPr>
          <w:szCs w:val="20"/>
        </w:rPr>
        <w:t>kwartaal</w:t>
      </w:r>
      <w:r>
        <w:rPr>
          <w:szCs w:val="20"/>
        </w:rPr>
        <w:t xml:space="preserve"> nipt is overschreden. Dit heeft verder geen financiële gevolgen.</w:t>
      </w:r>
    </w:p>
    <w:p w14:paraId="26D4B7D2" w14:textId="77777777" w:rsidR="00694FA4" w:rsidRDefault="00694FA4" w:rsidP="00694FA4">
      <w:pPr>
        <w:spacing w:after="0" w:line="276" w:lineRule="auto"/>
        <w:jc w:val="both"/>
        <w:rPr>
          <w:bCs/>
          <w:highlight w:val="yellow"/>
        </w:rPr>
      </w:pPr>
    </w:p>
    <w:p w14:paraId="499CBA8C" w14:textId="77777777" w:rsidR="00694FA4" w:rsidRDefault="00694FA4" w:rsidP="00694FA4">
      <w:pPr>
        <w:spacing w:after="0" w:line="276" w:lineRule="auto"/>
        <w:jc w:val="both"/>
        <w:rPr>
          <w:bCs/>
          <w:highlight w:val="yellow"/>
        </w:rPr>
      </w:pPr>
    </w:p>
    <w:p w14:paraId="1CAD5CBC" w14:textId="77777777" w:rsidR="00694FA4" w:rsidRPr="007A3FF4" w:rsidRDefault="00694FA4" w:rsidP="00694FA4">
      <w:pPr>
        <w:spacing w:line="276" w:lineRule="auto"/>
        <w:jc w:val="both"/>
        <w:rPr>
          <w:i/>
        </w:rPr>
      </w:pPr>
      <w:r w:rsidRPr="007A3FF4">
        <w:rPr>
          <w:i/>
        </w:rPr>
        <w:t>2.</w:t>
      </w:r>
      <w:r>
        <w:rPr>
          <w:i/>
        </w:rPr>
        <w:t>3</w:t>
      </w:r>
      <w:r w:rsidRPr="007A3FF4">
        <w:rPr>
          <w:i/>
        </w:rPr>
        <w:t xml:space="preserve"> Rechtmatige inkoop</w:t>
      </w:r>
    </w:p>
    <w:p w14:paraId="41CB63E6" w14:textId="77777777" w:rsidR="00694FA4" w:rsidRPr="007A3FF4" w:rsidRDefault="00694FA4" w:rsidP="00694FA4">
      <w:pPr>
        <w:spacing w:line="276" w:lineRule="auto"/>
        <w:jc w:val="both"/>
        <w:rPr>
          <w:rFonts w:cs="Arial"/>
          <w:szCs w:val="20"/>
        </w:rPr>
      </w:pPr>
      <w:r w:rsidRPr="007A3FF4">
        <w:t>In het 4</w:t>
      </w:r>
      <w:r w:rsidRPr="007A3FF4">
        <w:rPr>
          <w:vertAlign w:val="superscript"/>
        </w:rPr>
        <w:t>e</w:t>
      </w:r>
      <w:r w:rsidRPr="007A3FF4">
        <w:t xml:space="preserve"> kwartaal 2023 zijn alle inkopen en aanbestedingen als rechtmatig beoordeeld. In het 1</w:t>
      </w:r>
      <w:r w:rsidRPr="007A3FF4">
        <w:rPr>
          <w:vertAlign w:val="superscript"/>
        </w:rPr>
        <w:t>e</w:t>
      </w:r>
      <w:r w:rsidRPr="007A3FF4">
        <w:t xml:space="preserve"> kwartaal is voorzichtigheidshalve de inkoop bij één leverancier als onrechtmatig beoordeeld. BDO heeft de aanbesteding van </w:t>
      </w:r>
      <w:r w:rsidRPr="007A3FF4">
        <w:rPr>
          <w:rFonts w:cs="Arial"/>
          <w:szCs w:val="20"/>
        </w:rPr>
        <w:t xml:space="preserve">Centraal Beheer ad € 92.794 (excl. BTW) als onrechtmatig aangemerkt. Echter, de tussenpersoon verzekeren van WBL betwist dit. De inkoop bij Centraal Beheer is in hun ogen niet onrechtmatig, omdat WBL meerdere verzekeringen afneemt die niet homogeen zijn. Indien we de aanbesteding van Centraal Beheer voorzichtigheidshalve toch als onrechtmatig beschouwen is per saldo 99,96% rechtmatig. </w:t>
      </w:r>
    </w:p>
    <w:p w14:paraId="32C452F6" w14:textId="77777777" w:rsidR="00694FA4" w:rsidRPr="007A3FF4" w:rsidRDefault="00694FA4" w:rsidP="00694FA4">
      <w:pPr>
        <w:rPr>
          <w:color w:val="000000" w:themeColor="text1"/>
        </w:rPr>
      </w:pPr>
      <w:r w:rsidRPr="007A3FF4">
        <w:rPr>
          <w:noProof/>
        </w:rPr>
        <w:drawing>
          <wp:inline distT="0" distB="0" distL="0" distR="0" wp14:anchorId="3E721C70" wp14:editId="3AB9BFC4">
            <wp:extent cx="5119491" cy="314325"/>
            <wp:effectExtent l="0" t="0" r="5080" b="0"/>
            <wp:docPr id="18894346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5148" cy="314672"/>
                    </a:xfrm>
                    <a:prstGeom prst="rect">
                      <a:avLst/>
                    </a:prstGeom>
                    <a:noFill/>
                    <a:ln>
                      <a:noFill/>
                    </a:ln>
                  </pic:spPr>
                </pic:pic>
              </a:graphicData>
            </a:graphic>
          </wp:inline>
        </w:drawing>
      </w:r>
    </w:p>
    <w:p w14:paraId="30AF6A21" w14:textId="77777777" w:rsidR="00694FA4" w:rsidRPr="00B17DC3" w:rsidRDefault="00694FA4" w:rsidP="00694FA4">
      <w:pPr>
        <w:spacing w:line="276" w:lineRule="auto"/>
        <w:rPr>
          <w:b/>
          <w:highlight w:val="yellow"/>
        </w:rPr>
      </w:pPr>
    </w:p>
    <w:p w14:paraId="548747C2" w14:textId="77777777" w:rsidR="00694FA4" w:rsidRPr="007A3FC0" w:rsidRDefault="00694FA4" w:rsidP="00694FA4">
      <w:pPr>
        <w:pStyle w:val="Lijstalinea"/>
        <w:numPr>
          <w:ilvl w:val="0"/>
          <w:numId w:val="5"/>
        </w:numPr>
        <w:spacing w:after="0" w:line="276" w:lineRule="auto"/>
        <w:contextualSpacing w:val="0"/>
        <w:jc w:val="both"/>
        <w:rPr>
          <w:b/>
        </w:rPr>
      </w:pPr>
      <w:r w:rsidRPr="007A3FC0">
        <w:rPr>
          <w:b/>
        </w:rPr>
        <w:t>Investeringen</w:t>
      </w:r>
    </w:p>
    <w:p w14:paraId="64D8BA29" w14:textId="77777777" w:rsidR="00694FA4" w:rsidRPr="00B17DC3" w:rsidRDefault="00694FA4" w:rsidP="00694FA4">
      <w:pPr>
        <w:jc w:val="both"/>
        <w:rPr>
          <w:i/>
          <w:highlight w:val="yellow"/>
        </w:rPr>
      </w:pPr>
    </w:p>
    <w:p w14:paraId="696AAB2E" w14:textId="77777777" w:rsidR="00694FA4" w:rsidRPr="00130E33" w:rsidRDefault="00694FA4" w:rsidP="00694FA4">
      <w:pPr>
        <w:jc w:val="both"/>
        <w:rPr>
          <w:i/>
        </w:rPr>
      </w:pPr>
      <w:r w:rsidRPr="00130E33">
        <w:rPr>
          <w:i/>
        </w:rPr>
        <w:t>Investeringsprogramma: realisatie tot en met het 4</w:t>
      </w:r>
      <w:r w:rsidRPr="00130E33">
        <w:rPr>
          <w:i/>
          <w:vertAlign w:val="superscript"/>
        </w:rPr>
        <w:t>e</w:t>
      </w:r>
      <w:r w:rsidRPr="00130E33">
        <w:rPr>
          <w:i/>
        </w:rPr>
        <w:t xml:space="preserve"> kwartaal 2023.</w:t>
      </w:r>
    </w:p>
    <w:p w14:paraId="3C360051" w14:textId="77777777" w:rsidR="00694FA4" w:rsidRPr="00130E33" w:rsidRDefault="00694FA4" w:rsidP="00694FA4">
      <w:pPr>
        <w:spacing w:line="276" w:lineRule="auto"/>
        <w:rPr>
          <w:lang w:eastAsia="nl-NL"/>
        </w:rPr>
      </w:pPr>
      <w:r w:rsidRPr="00130E33">
        <w:rPr>
          <w:lang w:eastAsia="nl-NL"/>
        </w:rPr>
        <w:t xml:space="preserve">Het gerealiseerde investeringsbudget ultimo december 2023 bedraagt </w:t>
      </w:r>
      <w:r w:rsidRPr="00130E33">
        <w:rPr>
          <w:rFonts w:cs="Arial"/>
          <w:lang w:eastAsia="nl-NL"/>
        </w:rPr>
        <w:t>€</w:t>
      </w:r>
      <w:r w:rsidRPr="00130E33">
        <w:rPr>
          <w:lang w:eastAsia="nl-NL"/>
        </w:rPr>
        <w:t xml:space="preserve"> 27,7 miljoen en is daarmee afgerond 33% (</w:t>
      </w:r>
      <w:r w:rsidRPr="00130E33">
        <w:rPr>
          <w:rFonts w:cs="Arial"/>
          <w:lang w:eastAsia="nl-NL"/>
        </w:rPr>
        <w:t>€</w:t>
      </w:r>
      <w:r w:rsidRPr="00130E33">
        <w:rPr>
          <w:lang w:eastAsia="nl-NL"/>
        </w:rPr>
        <w:t xml:space="preserve"> 13,5 miljoen) lager dan gepland. </w:t>
      </w:r>
    </w:p>
    <w:p w14:paraId="7EB6FFE2" w14:textId="77777777" w:rsidR="00694FA4" w:rsidRPr="00B17DC3" w:rsidRDefault="00694FA4" w:rsidP="00694FA4">
      <w:pPr>
        <w:spacing w:line="276" w:lineRule="auto"/>
        <w:rPr>
          <w:highlight w:val="yellow"/>
        </w:rPr>
      </w:pPr>
      <w:r w:rsidRPr="007A3FC0">
        <w:rPr>
          <w:noProof/>
        </w:rPr>
        <w:drawing>
          <wp:inline distT="0" distB="0" distL="0" distR="0" wp14:anchorId="02FE9C32" wp14:editId="7CBAE368">
            <wp:extent cx="4305600" cy="1137600"/>
            <wp:effectExtent l="0" t="0" r="0" b="5715"/>
            <wp:docPr id="112601104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600" cy="1137600"/>
                    </a:xfrm>
                    <a:prstGeom prst="rect">
                      <a:avLst/>
                    </a:prstGeom>
                    <a:noFill/>
                    <a:ln>
                      <a:noFill/>
                    </a:ln>
                  </pic:spPr>
                </pic:pic>
              </a:graphicData>
            </a:graphic>
          </wp:inline>
        </w:drawing>
      </w:r>
    </w:p>
    <w:p w14:paraId="4D8386D9" w14:textId="77777777" w:rsidR="00694FA4" w:rsidRPr="00305EF7" w:rsidRDefault="00694FA4" w:rsidP="00694FA4">
      <w:pPr>
        <w:spacing w:line="264" w:lineRule="auto"/>
        <w:rPr>
          <w:lang w:eastAsia="nl-NL"/>
        </w:rPr>
      </w:pPr>
      <w:r w:rsidRPr="00305EF7">
        <w:rPr>
          <w:lang w:eastAsia="nl-NL"/>
        </w:rPr>
        <w:t>De lagere realisatie is het gevolg van een combinatie van factoren.</w:t>
      </w:r>
    </w:p>
    <w:p w14:paraId="49D91583" w14:textId="77777777" w:rsidR="00694FA4" w:rsidRPr="00305EF7" w:rsidRDefault="00694FA4" w:rsidP="00694FA4">
      <w:pPr>
        <w:spacing w:line="264" w:lineRule="auto"/>
        <w:rPr>
          <w:lang w:eastAsia="nl-NL"/>
        </w:rPr>
      </w:pPr>
      <w:r w:rsidRPr="00305EF7">
        <w:rPr>
          <w:lang w:eastAsia="nl-NL"/>
        </w:rPr>
        <w:t xml:space="preserve">De gevolgen van de geopolitieke omstandigheden leiden tot vertragingen in de realisatie van projecten. Zo is sprake van schaarste in materialen, met onder </w:t>
      </w:r>
      <w:r>
        <w:rPr>
          <w:lang w:eastAsia="nl-NL"/>
        </w:rPr>
        <w:t xml:space="preserve">andere </w:t>
      </w:r>
      <w:r w:rsidRPr="00305EF7">
        <w:rPr>
          <w:lang w:eastAsia="nl-NL"/>
        </w:rPr>
        <w:t xml:space="preserve">lange levertijden tot gevolg, en schaarste in beschikbare capaciteit in menskracht, zowel intern als bij leveranciers/aannemers. </w:t>
      </w:r>
      <w:r>
        <w:rPr>
          <w:lang w:eastAsia="nl-NL"/>
        </w:rPr>
        <w:t>Daarnaast hebben de weersomstandigheden in het najaar ook geleid tot aantal vertragingen en speelt de stikstofproblematiek ook een rol bij het tijdig verkrijgen van vergunningen.</w:t>
      </w:r>
    </w:p>
    <w:p w14:paraId="281B24E6" w14:textId="77777777" w:rsidR="00694FA4" w:rsidRPr="00EB458C" w:rsidRDefault="00694FA4" w:rsidP="00694FA4">
      <w:pPr>
        <w:spacing w:line="264" w:lineRule="auto"/>
        <w:rPr>
          <w:lang w:eastAsia="nl-NL"/>
        </w:rPr>
      </w:pPr>
      <w:r w:rsidRPr="00EB458C">
        <w:rPr>
          <w:lang w:eastAsia="nl-NL"/>
        </w:rPr>
        <w:t>Bijgaande projecten waarin de realisatie &gt; € 1</w:t>
      </w:r>
      <w:r>
        <w:rPr>
          <w:lang w:eastAsia="nl-NL"/>
        </w:rPr>
        <w:t>,0</w:t>
      </w:r>
      <w:r w:rsidRPr="00EB458C">
        <w:rPr>
          <w:lang w:eastAsia="nl-NL"/>
        </w:rPr>
        <w:t xml:space="preserve"> m</w:t>
      </w:r>
      <w:r>
        <w:rPr>
          <w:lang w:eastAsia="nl-NL"/>
        </w:rPr>
        <w:t>iljoen</w:t>
      </w:r>
      <w:r w:rsidRPr="00EB458C">
        <w:rPr>
          <w:lang w:eastAsia="nl-NL"/>
        </w:rPr>
        <w:t xml:space="preserve"> afwijkt afgezet tegen de oorspronkelijke planning:</w:t>
      </w:r>
    </w:p>
    <w:p w14:paraId="34634B05" w14:textId="77777777" w:rsidR="00694FA4" w:rsidRDefault="00694FA4" w:rsidP="00694FA4">
      <w:pPr>
        <w:pStyle w:val="Opsomteken"/>
      </w:pPr>
      <w:r w:rsidRPr="005D0B3E">
        <w:t xml:space="preserve">de </w:t>
      </w:r>
      <w:r>
        <w:t>verwachte</w:t>
      </w:r>
      <w:r w:rsidRPr="005D0B3E">
        <w:t xml:space="preserve"> uitgaven in 2023 in het project handboek actuele Verdygo modules sliblijn </w:t>
      </w:r>
      <w:r>
        <w:t>is deels doorgeschoven en deels goedkoper</w:t>
      </w:r>
      <w:r w:rsidRPr="005D0B3E">
        <w:t xml:space="preserve"> uitgevallen dan verwacht (€ 1,</w:t>
      </w:r>
      <w:r>
        <w:t>0</w:t>
      </w:r>
      <w:r w:rsidRPr="005D0B3E">
        <w:t xml:space="preserve"> m</w:t>
      </w:r>
      <w:r>
        <w:t>iljoen</w:t>
      </w:r>
      <w:r w:rsidRPr="005D0B3E">
        <w:t>);</w:t>
      </w:r>
    </w:p>
    <w:p w14:paraId="6041D2E2" w14:textId="77777777" w:rsidR="00694FA4" w:rsidRPr="005D0B3E" w:rsidRDefault="00694FA4" w:rsidP="00694FA4">
      <w:pPr>
        <w:pStyle w:val="Opsomteken"/>
      </w:pPr>
      <w:r>
        <w:t>de verwachte uitgaven in 2023 voor renovatie van verschillende gemalen zijn vertraagd en daardoor doorgeschoven (€ 1,2 miljoen);</w:t>
      </w:r>
    </w:p>
    <w:p w14:paraId="584420A9" w14:textId="77777777" w:rsidR="00694FA4" w:rsidRPr="005E7158" w:rsidRDefault="00694FA4" w:rsidP="00694FA4">
      <w:pPr>
        <w:pStyle w:val="Opsomteken"/>
      </w:pPr>
      <w:r w:rsidRPr="005E7158">
        <w:t>het project bij RWZI Susteren met betrekking vuilverwijdering is later opgestart dan gepland waardoor € 1,4 m</w:t>
      </w:r>
      <w:r>
        <w:t>iljoen</w:t>
      </w:r>
      <w:r w:rsidRPr="005E7158">
        <w:t xml:space="preserve"> verschuift naar 2024 en verder; </w:t>
      </w:r>
    </w:p>
    <w:p w14:paraId="48A5D733" w14:textId="77777777" w:rsidR="00694FA4" w:rsidRPr="00C26B5B" w:rsidRDefault="00694FA4" w:rsidP="00694FA4">
      <w:pPr>
        <w:pStyle w:val="Opsomteken"/>
      </w:pPr>
      <w:r w:rsidRPr="00C26B5B">
        <w:t>de investeringen bij RWZI Venlo als gevolg van aansluiten nieuw bedrijf vallen € 1,9 m</w:t>
      </w:r>
      <w:r>
        <w:t>iljoen</w:t>
      </w:r>
      <w:r w:rsidRPr="00C26B5B">
        <w:t xml:space="preserve"> lager uit;</w:t>
      </w:r>
    </w:p>
    <w:p w14:paraId="1D3D9745" w14:textId="77777777" w:rsidR="00694FA4" w:rsidRPr="000F4E4B" w:rsidRDefault="00694FA4" w:rsidP="00694FA4">
      <w:pPr>
        <w:pStyle w:val="Opsomteken"/>
      </w:pPr>
      <w:r w:rsidRPr="000F4E4B">
        <w:t>het project renoveren actief slibtank bij RWZI Gennep is vertraagd waardoor € 1,0 m</w:t>
      </w:r>
      <w:r>
        <w:t>iljoen</w:t>
      </w:r>
      <w:r w:rsidRPr="000F4E4B">
        <w:t xml:space="preserve"> doorschuift naar 2024;</w:t>
      </w:r>
    </w:p>
    <w:p w14:paraId="5EE10071" w14:textId="77777777" w:rsidR="00694FA4" w:rsidRPr="00774E5E" w:rsidRDefault="00694FA4" w:rsidP="00694FA4">
      <w:pPr>
        <w:pStyle w:val="Opsomteken"/>
      </w:pPr>
      <w:r w:rsidRPr="00774E5E">
        <w:lastRenderedPageBreak/>
        <w:t>de in 2023 geplande ombouw/renovatie van de voorbezinktank bij RWZI Roermond verschuift naar 2024. Hierdoor schuift € 1,3 m</w:t>
      </w:r>
      <w:r>
        <w:t>iljoen</w:t>
      </w:r>
      <w:r w:rsidRPr="00774E5E">
        <w:t xml:space="preserve"> door naar 2024;</w:t>
      </w:r>
    </w:p>
    <w:p w14:paraId="78DAC8BD" w14:textId="77777777" w:rsidR="00694FA4" w:rsidRPr="00E04286" w:rsidRDefault="00694FA4" w:rsidP="00694FA4">
      <w:pPr>
        <w:pStyle w:val="Opsomteken"/>
      </w:pPr>
      <w:r w:rsidRPr="00774E5E">
        <w:t xml:space="preserve">ook het project ten aanzien van de mechanische </w:t>
      </w:r>
      <w:proofErr w:type="spellStart"/>
      <w:r>
        <w:t>voor</w:t>
      </w:r>
      <w:r w:rsidRPr="00774E5E">
        <w:t>indikker</w:t>
      </w:r>
      <w:proofErr w:type="spellEnd"/>
      <w:r w:rsidRPr="00774E5E">
        <w:t xml:space="preserve"> bij RWZI Roermond loopt </w:t>
      </w:r>
      <w:r w:rsidRPr="00E04286">
        <w:t xml:space="preserve">vertraging op (vergunningen) waardoor € 1,4 </w:t>
      </w:r>
      <w:r>
        <w:t>miljoen</w:t>
      </w:r>
      <w:r w:rsidRPr="00E04286">
        <w:t xml:space="preserve"> verschuift naar 2024 en verder;</w:t>
      </w:r>
    </w:p>
    <w:p w14:paraId="7C53E4C1" w14:textId="77777777" w:rsidR="00694FA4" w:rsidRPr="00E04286" w:rsidRDefault="00694FA4" w:rsidP="00694FA4">
      <w:pPr>
        <w:pStyle w:val="Opsomteken"/>
      </w:pPr>
      <w:r w:rsidRPr="00E04286">
        <w:t>de latere start bij project RWZI Rimburg renovatie aeratietank, roosterinstallatie en zandvang installatie zorgt ook voor een verschuiving van ruim € 1</w:t>
      </w:r>
      <w:r>
        <w:t>,0</w:t>
      </w:r>
      <w:r w:rsidRPr="00E04286">
        <w:t xml:space="preserve"> m</w:t>
      </w:r>
      <w:r>
        <w:t>iljoen</w:t>
      </w:r>
      <w:r w:rsidRPr="00E04286">
        <w:t xml:space="preserve"> van 2023 naar 2024 en verder.</w:t>
      </w:r>
    </w:p>
    <w:p w14:paraId="397BC81C" w14:textId="77777777" w:rsidR="00694FA4" w:rsidRPr="00F34D86" w:rsidRDefault="00694FA4" w:rsidP="00694FA4">
      <w:pPr>
        <w:spacing w:line="264" w:lineRule="auto"/>
        <w:contextualSpacing/>
        <w:rPr>
          <w:rFonts w:eastAsia="MS Mincho" w:cs="Times New Roman"/>
          <w:color w:val="000000"/>
          <w:szCs w:val="24"/>
          <w:lang w:eastAsia="nl-NL"/>
        </w:rPr>
      </w:pPr>
    </w:p>
    <w:p w14:paraId="5CB8A7B9" w14:textId="77777777" w:rsidR="00694FA4" w:rsidRPr="00B17DC3" w:rsidRDefault="00694FA4" w:rsidP="00694FA4">
      <w:pPr>
        <w:contextualSpacing/>
        <w:rPr>
          <w:highlight w:val="yellow"/>
          <w:lang w:eastAsia="nl-NL"/>
        </w:rPr>
      </w:pPr>
      <w:r w:rsidRPr="00F34D86">
        <w:t>De overige afwijking wordt veroorzaakt door het saldo van diverse kleinere afwijkingen, veelal het gevolg van externe factoren.</w:t>
      </w:r>
    </w:p>
    <w:p w14:paraId="33073DF9" w14:textId="77777777" w:rsidR="00694FA4" w:rsidRPr="00B17DC3" w:rsidRDefault="00694FA4" w:rsidP="00694FA4">
      <w:pPr>
        <w:contextualSpacing/>
        <w:rPr>
          <w:highlight w:val="yellow"/>
          <w:lang w:eastAsia="nl-NL"/>
        </w:rPr>
      </w:pPr>
    </w:p>
    <w:p w14:paraId="37E14429" w14:textId="77777777" w:rsidR="00694FA4" w:rsidRPr="00161958" w:rsidRDefault="00694FA4" w:rsidP="00694FA4">
      <w:pPr>
        <w:jc w:val="both"/>
      </w:pPr>
      <w:r w:rsidRPr="00161958">
        <w:t>In bijlage 2 (Dashboard Directierapportage) zijn alle indicatoren opgenomen en waar nodig verder toegelicht.</w:t>
      </w:r>
    </w:p>
    <w:p w14:paraId="5800B667" w14:textId="77777777" w:rsidR="00694FA4" w:rsidRPr="00B17DC3" w:rsidRDefault="00694FA4" w:rsidP="00694FA4">
      <w:pPr>
        <w:jc w:val="both"/>
        <w:rPr>
          <w:b/>
          <w:highlight w:val="yellow"/>
        </w:rPr>
      </w:pPr>
    </w:p>
    <w:p w14:paraId="2E6281A2" w14:textId="77777777" w:rsidR="00694FA4" w:rsidRPr="00161958" w:rsidRDefault="00694FA4" w:rsidP="00694FA4">
      <w:pPr>
        <w:jc w:val="both"/>
        <w:rPr>
          <w:b/>
        </w:rPr>
      </w:pPr>
      <w:r w:rsidRPr="00161958">
        <w:rPr>
          <w:b/>
        </w:rPr>
        <w:t>Strategische doelen in relatie tot:</w:t>
      </w:r>
    </w:p>
    <w:p w14:paraId="1413F321" w14:textId="77777777" w:rsidR="00694FA4" w:rsidRPr="00161958" w:rsidRDefault="00694FA4" w:rsidP="00694FA4">
      <w:pPr>
        <w:pStyle w:val="Opsomtekens"/>
      </w:pPr>
      <w:r w:rsidRPr="00161958">
        <w:t>Schoon en ecologisch gezond water:</w:t>
      </w:r>
    </w:p>
    <w:p w14:paraId="5C62F335" w14:textId="77777777" w:rsidR="00694FA4" w:rsidRPr="00161958" w:rsidRDefault="00694FA4" w:rsidP="00694FA4">
      <w:pPr>
        <w:pStyle w:val="Opsomtekens"/>
      </w:pPr>
      <w:r w:rsidRPr="00161958">
        <w:t>Vergroten duurzaamheid:</w:t>
      </w:r>
    </w:p>
    <w:p w14:paraId="5B191743" w14:textId="77777777" w:rsidR="00694FA4" w:rsidRPr="00161958" w:rsidRDefault="00694FA4" w:rsidP="00694FA4">
      <w:pPr>
        <w:pStyle w:val="Opsomtekens"/>
      </w:pPr>
      <w:r w:rsidRPr="00161958">
        <w:t>Vergroten maatschappelijke waarde:</w:t>
      </w:r>
    </w:p>
    <w:p w14:paraId="6C9E4B77" w14:textId="77777777" w:rsidR="00694FA4" w:rsidRPr="00161958" w:rsidRDefault="00694FA4" w:rsidP="00694FA4">
      <w:pPr>
        <w:jc w:val="both"/>
      </w:pPr>
      <w:r w:rsidRPr="00161958">
        <w:t>De Directierapportage rapporteert over behaalde resultaten op de strategische doelen (zie o.a. het dashboard Strategische thema’s en het dashboard Directierapportage).</w:t>
      </w:r>
    </w:p>
    <w:p w14:paraId="0FC2042D" w14:textId="77777777" w:rsidR="00694FA4" w:rsidRPr="00B17DC3" w:rsidRDefault="00694FA4" w:rsidP="00694FA4">
      <w:pPr>
        <w:spacing w:line="276" w:lineRule="auto"/>
        <w:jc w:val="both"/>
        <w:rPr>
          <w:b/>
          <w:highlight w:val="yellow"/>
        </w:rPr>
      </w:pPr>
    </w:p>
    <w:p w14:paraId="2126F436" w14:textId="77777777" w:rsidR="00694FA4" w:rsidRPr="00161958" w:rsidRDefault="00694FA4" w:rsidP="00694FA4">
      <w:pPr>
        <w:spacing w:line="276" w:lineRule="auto"/>
        <w:jc w:val="both"/>
        <w:rPr>
          <w:b/>
        </w:rPr>
      </w:pPr>
      <w:r w:rsidRPr="00161958">
        <w:rPr>
          <w:b/>
        </w:rPr>
        <w:t xml:space="preserve">Organisatie: </w:t>
      </w:r>
    </w:p>
    <w:p w14:paraId="6E73887E" w14:textId="77777777" w:rsidR="00694FA4" w:rsidRPr="00161958" w:rsidRDefault="00694FA4" w:rsidP="00694FA4">
      <w:pPr>
        <w:spacing w:line="276" w:lineRule="auto"/>
        <w:jc w:val="both"/>
      </w:pPr>
      <w:r w:rsidRPr="00161958">
        <w:t>Niet van toepassing</w:t>
      </w:r>
    </w:p>
    <w:p w14:paraId="6148318C" w14:textId="77777777" w:rsidR="00694FA4" w:rsidRPr="00161958" w:rsidRDefault="00694FA4" w:rsidP="00694FA4">
      <w:pPr>
        <w:spacing w:line="276" w:lineRule="auto"/>
        <w:jc w:val="both"/>
      </w:pPr>
    </w:p>
    <w:p w14:paraId="29A1B7BB" w14:textId="77777777" w:rsidR="00694FA4" w:rsidRPr="00161958" w:rsidRDefault="00694FA4" w:rsidP="00694FA4">
      <w:pPr>
        <w:spacing w:line="276" w:lineRule="auto"/>
        <w:jc w:val="both"/>
        <w:rPr>
          <w:b/>
        </w:rPr>
      </w:pPr>
      <w:r w:rsidRPr="00161958">
        <w:rPr>
          <w:b/>
        </w:rPr>
        <w:t>Ondernemingsraad:</w:t>
      </w:r>
    </w:p>
    <w:p w14:paraId="3C123BAE" w14:textId="77777777" w:rsidR="00694FA4" w:rsidRPr="00161958" w:rsidRDefault="00694FA4" w:rsidP="00694FA4">
      <w:pPr>
        <w:spacing w:line="276" w:lineRule="auto"/>
        <w:jc w:val="both"/>
      </w:pPr>
      <w:r w:rsidRPr="00161958">
        <w:t>Niet van toepassing</w:t>
      </w:r>
    </w:p>
    <w:p w14:paraId="22884546" w14:textId="77777777" w:rsidR="00694FA4" w:rsidRPr="006A7ED5" w:rsidRDefault="00694FA4" w:rsidP="00694FA4">
      <w:pPr>
        <w:spacing w:line="276" w:lineRule="auto"/>
        <w:jc w:val="both"/>
      </w:pPr>
    </w:p>
    <w:p w14:paraId="60D657B5" w14:textId="77777777" w:rsidR="00694FA4" w:rsidRPr="006A7ED5" w:rsidRDefault="00694FA4" w:rsidP="00694FA4">
      <w:pPr>
        <w:spacing w:line="276" w:lineRule="auto"/>
        <w:jc w:val="both"/>
        <w:rPr>
          <w:b/>
        </w:rPr>
      </w:pPr>
      <w:r w:rsidRPr="006A7ED5">
        <w:rPr>
          <w:b/>
        </w:rPr>
        <w:t>Juridische aspecten:</w:t>
      </w:r>
    </w:p>
    <w:p w14:paraId="19EFAD52" w14:textId="77777777" w:rsidR="00694FA4" w:rsidRPr="006A7ED5" w:rsidRDefault="00694FA4" w:rsidP="00694FA4">
      <w:r w:rsidRPr="006A7ED5">
        <w:t>De navolgende, nagenoeg alle oudere, juridische kwesties zijn onderhanden en zijn deels ongewijzigd ten opzichte van het vorige kwartaal:</w:t>
      </w:r>
    </w:p>
    <w:p w14:paraId="1AD8F237" w14:textId="77777777" w:rsidR="00694FA4" w:rsidRPr="006A7ED5" w:rsidRDefault="00694FA4" w:rsidP="00694FA4">
      <w:pPr>
        <w:pStyle w:val="Lijstalinea"/>
        <w:numPr>
          <w:ilvl w:val="0"/>
          <w:numId w:val="7"/>
        </w:numPr>
        <w:spacing w:after="0" w:line="276" w:lineRule="auto"/>
        <w:contextualSpacing w:val="0"/>
      </w:pPr>
      <w:r w:rsidRPr="006A7ED5">
        <w:t xml:space="preserve">WBL heeft in 2018 een vordering/schadeclaim ingediend op een failliete leverancier. De curator van deze partij betwist de vordering en heeft gesteld dat de leverancier nog een vordering heeft op WBL. Dit laatste wordt weer betwist door WBL. De betreffende vordering is echter door de partij verpand aan haar kredietgever. Als gevolg van het faillissement is de curator namens de kredietgever uitstaande vorderingen aan het incasseren. Sinds november 2019 blijft een reactie van de curator betreffende de vordering uit. </w:t>
      </w:r>
      <w:r w:rsidRPr="006A7ED5">
        <w:rPr>
          <w:rFonts w:cs="Arial"/>
          <w:szCs w:val="20"/>
        </w:rPr>
        <w:t>Dit is de huidige status quo.</w:t>
      </w:r>
      <w:r w:rsidRPr="006A7ED5">
        <w:t xml:space="preserve"> Aangezien het de verwachting is dat beide vorderingen niet geëffectueerd kunnen worden, zijn beide vorderingen niet opgenomen in het resultaat;</w:t>
      </w:r>
    </w:p>
    <w:p w14:paraId="0FD0F024" w14:textId="77777777" w:rsidR="00694FA4" w:rsidRPr="006C554F" w:rsidRDefault="00694FA4" w:rsidP="00694FA4">
      <w:pPr>
        <w:pStyle w:val="Lijstalinea"/>
        <w:numPr>
          <w:ilvl w:val="0"/>
          <w:numId w:val="7"/>
        </w:numPr>
        <w:spacing w:after="0" w:line="276" w:lineRule="auto"/>
      </w:pPr>
      <w:r w:rsidRPr="00F811AB">
        <w:t xml:space="preserve">Een oud-medewerker betwist het van rechtswege beëindigen van een tijdelijke aanstelling en heeft in 2020 een arbeidsgerechtelijke procedure gestart. De rechter heeft WBL in 2021 in het </w:t>
      </w:r>
      <w:r w:rsidRPr="006C554F">
        <w:t xml:space="preserve">gelijk gesteld. De oud-medewerker heeft hier tegen beroep aangetekend. Zitting voor het beroep is op 5 december 2023 geweest. In januari 2024 heeft de rechter in hoger beroep geoordeeld dat de rechtbank in Roermond terecht het beroep van de oud medewerker ongegrond heeft verklaard. Daarmee is de zaak definitief afgerond; </w:t>
      </w:r>
    </w:p>
    <w:p w14:paraId="5D99457B" w14:textId="77777777" w:rsidR="00694FA4" w:rsidRPr="006C554F" w:rsidRDefault="00694FA4" w:rsidP="00694FA4">
      <w:pPr>
        <w:pStyle w:val="Lijstalinea"/>
        <w:numPr>
          <w:ilvl w:val="0"/>
          <w:numId w:val="7"/>
        </w:numPr>
        <w:spacing w:after="0" w:line="276" w:lineRule="auto"/>
        <w:rPr>
          <w:rFonts w:eastAsia="Roboto Condensed" w:cs="Roboto Condensed"/>
        </w:rPr>
      </w:pPr>
      <w:r w:rsidRPr="006C554F">
        <w:lastRenderedPageBreak/>
        <w:t xml:space="preserve">Mogelijke aansprakelijkstelling door contractpartij wegens </w:t>
      </w:r>
      <w:r>
        <w:t xml:space="preserve">in 2021 gemaakte </w:t>
      </w:r>
      <w:r w:rsidRPr="006C554F">
        <w:t>fouten van opdrachtnemer (transportbedrijf) van WBL waardoor betreffende contractpartij stelt schade te hebben geleden. Formeel heeft de aansprakelijkstelling nog niet plaatsgevonden. Mocht dit wel plaatsvinden, zal het transportbedrijf door WBL worden aangesproken;</w:t>
      </w:r>
    </w:p>
    <w:p w14:paraId="5C0B668F" w14:textId="77777777" w:rsidR="00694FA4" w:rsidRPr="006C554F" w:rsidRDefault="00694FA4" w:rsidP="00694FA4">
      <w:pPr>
        <w:pStyle w:val="Lijstalinea"/>
        <w:numPr>
          <w:ilvl w:val="0"/>
          <w:numId w:val="7"/>
        </w:numPr>
        <w:spacing w:after="0" w:line="276" w:lineRule="auto"/>
      </w:pPr>
      <w:r w:rsidRPr="006C554F">
        <w:t xml:space="preserve">Het Openbaar Ministerie is van mening dat WBL een aantal ongewone voorvallen niet c.q. niet tijdig heeft gemeld bij het juiste bevoegde gezag. Dit heeft ertoe geleid dat het Openbaar Ministerie in kwartaal 3 van 2023 voornemens was tot het uitvaardigen van een strafbeschikking. Hierdoor is WBL uitgenodigd voor een hoorzitting die plaatsvond in oktober 2023. De officier van justitie heeft aangegeven voornemens te zijn tot dagvaarding over te gaan. Dit kan mogelijk leiden tot het betalen van een boete; </w:t>
      </w:r>
    </w:p>
    <w:p w14:paraId="3C6A64D9" w14:textId="77777777" w:rsidR="00694FA4" w:rsidRPr="006C554F" w:rsidRDefault="00694FA4" w:rsidP="00694FA4">
      <w:pPr>
        <w:pStyle w:val="Lijstalinea"/>
        <w:numPr>
          <w:ilvl w:val="0"/>
          <w:numId w:val="7"/>
        </w:numPr>
        <w:spacing w:after="0" w:line="276" w:lineRule="auto"/>
      </w:pPr>
      <w:r w:rsidRPr="006C554F">
        <w:t xml:space="preserve">WBL heeft een riooltransportleiding gerenoveerd. Ter plekke lag ook een hogedrukgasleiding van een derde die, naar mening van WBL, daar niet mocht liggen. WBL beschikt over een opstalrecht, waarvan onderdeel is dat WBL ongestoord dient te kunnen overgaan tot noodzakelijke vervanging van deze leiding. In eerste instantie wilde de derde partij haar leiding niet verleggen, maar dat heeft derde uiteindelijk wel gedaan. </w:t>
      </w:r>
      <w:r>
        <w:t xml:space="preserve">Deze derde </w:t>
      </w:r>
      <w:r w:rsidRPr="006C554F">
        <w:t xml:space="preserve">brengt thans de kosten voor het verleggen (ca € 5.000) in rekening bij WBL. Naar mening van WBL </w:t>
      </w:r>
      <w:r>
        <w:t>wa</w:t>
      </w:r>
      <w:r w:rsidRPr="006C554F">
        <w:t xml:space="preserve">s dit </w:t>
      </w:r>
      <w:r>
        <w:t xml:space="preserve">aanvankelijk </w:t>
      </w:r>
      <w:r w:rsidRPr="006C554F">
        <w:t xml:space="preserve">niet terecht en </w:t>
      </w:r>
      <w:r>
        <w:t>wa</w:t>
      </w:r>
      <w:r w:rsidRPr="006C554F">
        <w:t>s WBL van mening dat juist zij een vordering heeft (orde grootte € 30.000 á</w:t>
      </w:r>
      <w:r>
        <w:t xml:space="preserve"> </w:t>
      </w:r>
      <w:r w:rsidRPr="006C554F">
        <w:rPr>
          <w:rFonts w:cs="Arial"/>
        </w:rPr>
        <w:t>€</w:t>
      </w:r>
      <w:r w:rsidRPr="006C554F">
        <w:t xml:space="preserve"> 35.000) wegens door WBL gemaakte meerkosten (vertragingsschade en extra handelingen wegens de aanwezigheid van de derde leiding). </w:t>
      </w:r>
      <w:r>
        <w:t xml:space="preserve">De onderliggende kadastrale stukken spreken evenwel in het voordeel van de derde. Om die reden en vanwege de onderlinge relatie en het beperkt financieel belang is besloten de vordering van de derde te voldoen en van de vordering af te zien. </w:t>
      </w:r>
      <w:r w:rsidRPr="006C554F">
        <w:t>De beiderzijdse vorderingen zijn niet opgenomen in het resultaat</w:t>
      </w:r>
      <w:r>
        <w:t xml:space="preserve"> van boekjaar 2023</w:t>
      </w:r>
      <w:r w:rsidRPr="006C554F">
        <w:t>;</w:t>
      </w:r>
    </w:p>
    <w:p w14:paraId="58ABBE0F" w14:textId="77777777" w:rsidR="00694FA4" w:rsidRPr="006C554F" w:rsidRDefault="00694FA4" w:rsidP="00694FA4">
      <w:pPr>
        <w:pStyle w:val="Lijstalinea"/>
        <w:numPr>
          <w:ilvl w:val="0"/>
          <w:numId w:val="7"/>
        </w:numPr>
        <w:spacing w:after="0" w:line="276" w:lineRule="auto"/>
      </w:pPr>
      <w:r w:rsidRPr="006C554F">
        <w:t>Aannemer van WBL heeft tijdens grondwerkzaamheden (in verband met het leggen van een leiding) eind 2023 een stroomkabel van een derde geraakt waardoor gedurende enkele uren sprake was van stroomuitval. Als gevolg daarvan heeft een bedrijf gedurende die uren geen productie kunnen draaien en stelt zij daardoor schade te hebben geleden. De fabrikant heeft de aannemer, de gemeente en WBL daarvoor in 2024 aansprakelijk gesteld. De hoogte van de claim is onbekend;</w:t>
      </w:r>
    </w:p>
    <w:p w14:paraId="4FA72E80" w14:textId="77777777" w:rsidR="00694FA4" w:rsidRPr="006C554F" w:rsidRDefault="00694FA4" w:rsidP="00694FA4">
      <w:pPr>
        <w:pStyle w:val="Lijstalinea"/>
        <w:numPr>
          <w:ilvl w:val="0"/>
          <w:numId w:val="7"/>
        </w:numPr>
        <w:spacing w:after="0" w:line="276" w:lineRule="auto"/>
      </w:pPr>
      <w:r w:rsidRPr="006C554F">
        <w:t xml:space="preserve">Een mogelijke claim van de korrelafnemer in verband met stoppen van leveringen. Ondertussen heeft overleg plaatsgevonden en partijen hebben een principeakkoord bereikt over een schadevergoedingsbedrag door WBL te betalen van </w:t>
      </w:r>
      <w:r w:rsidRPr="006C554F">
        <w:rPr>
          <w:rFonts w:cs="Arial"/>
        </w:rPr>
        <w:t>€</w:t>
      </w:r>
      <w:r w:rsidRPr="006C554F">
        <w:t xml:space="preserve"> 0,2 miljoen tegen finale kwijting. De vaststellingsovereenkomst is ter </w:t>
      </w:r>
      <w:r>
        <w:t>ondertekening</w:t>
      </w:r>
      <w:r w:rsidRPr="006C554F">
        <w:t xml:space="preserve"> aan de korrelafnemer toegezonden. Deze claim van </w:t>
      </w:r>
      <w:r w:rsidRPr="006C554F">
        <w:rPr>
          <w:rFonts w:cs="Arial"/>
        </w:rPr>
        <w:t>€</w:t>
      </w:r>
      <w:r w:rsidRPr="006C554F">
        <w:t xml:space="preserve"> 0,2 miljoen is opgenomen in het resultaat;</w:t>
      </w:r>
    </w:p>
    <w:p w14:paraId="5BAFB14D" w14:textId="77777777" w:rsidR="00694FA4" w:rsidRDefault="00694FA4" w:rsidP="00694FA4">
      <w:pPr>
        <w:jc w:val="both"/>
        <w:rPr>
          <w:b/>
          <w:highlight w:val="yellow"/>
        </w:rPr>
      </w:pPr>
    </w:p>
    <w:p w14:paraId="7E31B7C7" w14:textId="77777777" w:rsidR="00694FA4" w:rsidRPr="00B17DC3" w:rsidRDefault="00694FA4" w:rsidP="00694FA4">
      <w:pPr>
        <w:jc w:val="both"/>
        <w:rPr>
          <w:b/>
          <w:highlight w:val="yellow"/>
        </w:rPr>
      </w:pPr>
    </w:p>
    <w:p w14:paraId="54644135" w14:textId="77777777" w:rsidR="00694FA4" w:rsidRPr="00005776" w:rsidRDefault="00694FA4" w:rsidP="00694FA4">
      <w:pPr>
        <w:jc w:val="both"/>
        <w:rPr>
          <w:b/>
        </w:rPr>
      </w:pPr>
      <w:r w:rsidRPr="00005776">
        <w:rPr>
          <w:b/>
        </w:rPr>
        <w:t>Risico’s:</w:t>
      </w:r>
    </w:p>
    <w:p w14:paraId="25266818" w14:textId="77777777" w:rsidR="00694FA4" w:rsidRPr="00005776" w:rsidRDefault="00694FA4" w:rsidP="00694FA4">
      <w:r w:rsidRPr="00005776">
        <w:t xml:space="preserve">Conform de wettelijke kaders heeft WBL een risicomanagementbeleid, een risicomatrix met risicogebeurtenissen waarvan het financiële restrisico op de balans als een reserve wordt aangehouden (weerstandsvermogen). De hoogte van de risico-reserve bij aanvang boekjaar 2023 bedroeg € 0. </w:t>
      </w:r>
    </w:p>
    <w:p w14:paraId="4D743264" w14:textId="77777777" w:rsidR="00694FA4" w:rsidRPr="00005776" w:rsidRDefault="00694FA4" w:rsidP="00694FA4">
      <w:r w:rsidRPr="00005776">
        <w:t>Conform het besluit van het AB 18-09-2019 Kadernota Risicomanagement zal ieder kwartaal een actualisatie van de opgenomen risico’s in de risicomatrix expliciet worden behandeld als onderdeel van de Directierapportage.</w:t>
      </w:r>
    </w:p>
    <w:p w14:paraId="7DBDFFB7" w14:textId="77777777" w:rsidR="00694FA4" w:rsidRPr="00005776" w:rsidRDefault="00694FA4" w:rsidP="00694FA4">
      <w:pPr>
        <w:pStyle w:val="inspringstandaard"/>
        <w:ind w:left="0"/>
      </w:pPr>
      <w:r w:rsidRPr="00005776">
        <w:t>In 2023 hebben de navolgende risicogebeurtenissen, die deel uit maken van de WBL-risicomatrix, zich voorgedaan:</w:t>
      </w:r>
    </w:p>
    <w:p w14:paraId="7D080411" w14:textId="77777777" w:rsidR="00694FA4" w:rsidRPr="00005776" w:rsidRDefault="00694FA4" w:rsidP="00694FA4">
      <w:pPr>
        <w:pStyle w:val="inspringstandaard"/>
        <w:numPr>
          <w:ilvl w:val="0"/>
          <w:numId w:val="6"/>
        </w:numPr>
      </w:pPr>
      <w:r w:rsidRPr="00005776">
        <w:t>Het stagneren van de afzet van reststoffen, in relatie tot de slibproblematiek, heeft zich ook in 2023 voortgezet. Dit is een risicogebeurtenis die zich sinds 2018 structureel voordoet;</w:t>
      </w:r>
    </w:p>
    <w:p w14:paraId="3790F24B" w14:textId="77777777" w:rsidR="00694FA4" w:rsidRPr="00005776" w:rsidRDefault="00694FA4" w:rsidP="00694FA4">
      <w:pPr>
        <w:pStyle w:val="inspringstandaard"/>
        <w:numPr>
          <w:ilvl w:val="0"/>
          <w:numId w:val="6"/>
        </w:numPr>
      </w:pPr>
      <w:r w:rsidRPr="00005776">
        <w:t>Onverwachte en onvoorziene stijging van prijzen;</w:t>
      </w:r>
    </w:p>
    <w:p w14:paraId="4EABF34C" w14:textId="77777777" w:rsidR="00694FA4" w:rsidRPr="00005776" w:rsidRDefault="00694FA4" w:rsidP="00694FA4">
      <w:pPr>
        <w:pStyle w:val="inspringstandaard"/>
        <w:numPr>
          <w:ilvl w:val="0"/>
          <w:numId w:val="6"/>
        </w:numPr>
      </w:pPr>
      <w:r w:rsidRPr="00005776">
        <w:t xml:space="preserve">Geopolitieke omstandigheden en hieraan gerelateerde financiële gevolgen (energietarieven). </w:t>
      </w:r>
    </w:p>
    <w:p w14:paraId="35A19276" w14:textId="6EE47FF7" w:rsidR="00694FA4" w:rsidRPr="003D04A5" w:rsidRDefault="00694FA4" w:rsidP="00694FA4">
      <w:pPr>
        <w:jc w:val="both"/>
      </w:pPr>
      <w:r w:rsidRPr="003D04A5">
        <w:lastRenderedPageBreak/>
        <w:t xml:space="preserve">Vastgesteld door het </w:t>
      </w:r>
      <w:r w:rsidR="007458AC">
        <w:t>Algemeen</w:t>
      </w:r>
      <w:r w:rsidRPr="003D04A5">
        <w:t xml:space="preserve"> Bestuur d.d. 2</w:t>
      </w:r>
      <w:r w:rsidR="007458AC">
        <w:t>4</w:t>
      </w:r>
      <w:r w:rsidRPr="003D04A5">
        <w:t xml:space="preserve"> </w:t>
      </w:r>
      <w:r w:rsidR="007458AC">
        <w:t>april</w:t>
      </w:r>
      <w:r w:rsidRPr="003D04A5">
        <w:t xml:space="preserve"> 2024.</w:t>
      </w:r>
    </w:p>
    <w:p w14:paraId="127C8945" w14:textId="77777777" w:rsidR="00694FA4" w:rsidRPr="003D04A5" w:rsidRDefault="00694FA4" w:rsidP="00694FA4">
      <w:pPr>
        <w:jc w:val="both"/>
      </w:pPr>
    </w:p>
    <w:p w14:paraId="4EAACBB8" w14:textId="77777777" w:rsidR="00694FA4" w:rsidRPr="003D04A5" w:rsidRDefault="00694FA4" w:rsidP="00694FA4">
      <w:pPr>
        <w:jc w:val="both"/>
      </w:pPr>
    </w:p>
    <w:p w14:paraId="09563FC4" w14:textId="09C0597A" w:rsidR="00694FA4" w:rsidRPr="003D04A5" w:rsidRDefault="00694FA4" w:rsidP="00694FA4">
      <w:pPr>
        <w:jc w:val="both"/>
      </w:pPr>
      <w:r w:rsidRPr="003D04A5">
        <w:t>De plv. directeur</w:t>
      </w:r>
      <w:r w:rsidR="009C7AEE">
        <w:t xml:space="preserve">, </w:t>
      </w:r>
      <w:r w:rsidR="009C7AEE">
        <w:tab/>
      </w:r>
      <w:r w:rsidR="009C7AEE">
        <w:tab/>
      </w:r>
      <w:r w:rsidR="009C7AEE">
        <w:tab/>
      </w:r>
      <w:r w:rsidR="009C7AEE">
        <w:tab/>
      </w:r>
      <w:r w:rsidRPr="003D04A5">
        <w:t>De voorzitter,</w:t>
      </w:r>
    </w:p>
    <w:p w14:paraId="4CD90796" w14:textId="77777777" w:rsidR="00694FA4" w:rsidRPr="00B17DC3" w:rsidRDefault="00694FA4" w:rsidP="00694FA4">
      <w:pPr>
        <w:jc w:val="both"/>
        <w:rPr>
          <w:highlight w:val="yellow"/>
        </w:rPr>
      </w:pPr>
    </w:p>
    <w:p w14:paraId="3D04E6F9" w14:textId="77777777" w:rsidR="00694FA4" w:rsidRPr="003D04A5" w:rsidRDefault="00694FA4" w:rsidP="00694FA4">
      <w:pPr>
        <w:jc w:val="both"/>
      </w:pPr>
      <w:r w:rsidRPr="003D04A5">
        <w:t xml:space="preserve">                                                            </w:t>
      </w:r>
    </w:p>
    <w:p w14:paraId="001DC45D" w14:textId="0B6A5E77" w:rsidR="00694FA4" w:rsidRPr="0052248F" w:rsidRDefault="00943CC8" w:rsidP="00694FA4">
      <w:pPr>
        <w:rPr>
          <w:rFonts w:ascii="Calibri" w:hAnsi="Calibri"/>
          <w:iCs/>
          <w:color w:val="44546A"/>
        </w:rPr>
      </w:pPr>
      <w:r>
        <w:rPr>
          <w:iCs/>
          <w:color w:val="000000"/>
        </w:rPr>
        <w:t>G.A.M. Tummers</w:t>
      </w:r>
      <w:r w:rsidR="009C7AEE">
        <w:rPr>
          <w:iCs/>
          <w:color w:val="000000"/>
        </w:rPr>
        <w:tab/>
      </w:r>
      <w:r w:rsidR="009C7AEE">
        <w:rPr>
          <w:iCs/>
          <w:color w:val="000000"/>
        </w:rPr>
        <w:tab/>
      </w:r>
      <w:r w:rsidR="009C7AEE">
        <w:rPr>
          <w:iCs/>
          <w:color w:val="000000"/>
        </w:rPr>
        <w:tab/>
      </w:r>
      <w:r w:rsidR="009C7AEE">
        <w:rPr>
          <w:iCs/>
          <w:color w:val="000000"/>
        </w:rPr>
        <w:tab/>
      </w:r>
      <w:r w:rsidR="00694FA4" w:rsidRPr="0052248F">
        <w:rPr>
          <w:iCs/>
          <w:color w:val="000000"/>
        </w:rPr>
        <w:t>S.M.M. Borgers</w:t>
      </w:r>
    </w:p>
    <w:p w14:paraId="1102D877" w14:textId="77777777" w:rsidR="00694FA4" w:rsidRPr="003D04A5" w:rsidRDefault="00694FA4" w:rsidP="00694FA4">
      <w:pPr>
        <w:spacing w:line="264" w:lineRule="auto"/>
        <w:jc w:val="both"/>
        <w:rPr>
          <w:i/>
          <w:iCs/>
          <w:color w:val="000000"/>
        </w:rPr>
      </w:pPr>
    </w:p>
    <w:p w14:paraId="3536F4F2" w14:textId="77777777" w:rsidR="00694FA4" w:rsidRPr="00B17DC3" w:rsidRDefault="00694FA4" w:rsidP="00694FA4">
      <w:pPr>
        <w:spacing w:line="276" w:lineRule="auto"/>
        <w:rPr>
          <w:b/>
          <w:bCs/>
          <w:highlight w:val="yellow"/>
        </w:rPr>
      </w:pPr>
    </w:p>
    <w:p w14:paraId="185FB41A" w14:textId="77777777" w:rsidR="00694FA4" w:rsidRPr="00161958" w:rsidRDefault="00694FA4" w:rsidP="00694FA4">
      <w:pPr>
        <w:spacing w:line="276" w:lineRule="auto"/>
        <w:rPr>
          <w:b/>
        </w:rPr>
      </w:pPr>
    </w:p>
    <w:p w14:paraId="2A8CFA60" w14:textId="77777777" w:rsidR="00694FA4" w:rsidRPr="00161958" w:rsidRDefault="00694FA4" w:rsidP="00694FA4">
      <w:pPr>
        <w:spacing w:line="276" w:lineRule="auto"/>
        <w:rPr>
          <w:b/>
        </w:rPr>
      </w:pPr>
      <w:r w:rsidRPr="00161958">
        <w:rPr>
          <w:b/>
        </w:rPr>
        <w:t xml:space="preserve">Bijlagen: </w:t>
      </w:r>
    </w:p>
    <w:p w14:paraId="7D6DFFCD" w14:textId="77777777" w:rsidR="00694FA4" w:rsidRPr="00161958" w:rsidRDefault="00694FA4" w:rsidP="00694FA4">
      <w:pPr>
        <w:pStyle w:val="Opsomtekens"/>
        <w:numPr>
          <w:ilvl w:val="0"/>
          <w:numId w:val="0"/>
        </w:numPr>
        <w:ind w:left="357" w:hanging="357"/>
      </w:pPr>
      <w:r w:rsidRPr="00161958">
        <w:t>Bijlage 1: Schematische weergave van de relatie tussen Bevoegd gezag en WBL</w:t>
      </w:r>
    </w:p>
    <w:p w14:paraId="7FFB4DE2" w14:textId="77777777" w:rsidR="00694FA4" w:rsidRPr="00161958" w:rsidRDefault="00694FA4" w:rsidP="00694FA4">
      <w:pPr>
        <w:pStyle w:val="Opsomtekens"/>
        <w:numPr>
          <w:ilvl w:val="0"/>
          <w:numId w:val="0"/>
        </w:numPr>
        <w:ind w:left="357" w:hanging="357"/>
      </w:pPr>
      <w:r w:rsidRPr="00161958">
        <w:t>Bijlage 2: Dashboard Directierapportage 4</w:t>
      </w:r>
      <w:r w:rsidRPr="00161958">
        <w:rPr>
          <w:vertAlign w:val="superscript"/>
        </w:rPr>
        <w:t>e</w:t>
      </w:r>
      <w:r w:rsidRPr="00161958">
        <w:t xml:space="preserve"> kwartaal 2023</w:t>
      </w:r>
    </w:p>
    <w:p w14:paraId="66E7E563" w14:textId="77777777" w:rsidR="00694FA4" w:rsidRPr="00103D28" w:rsidRDefault="00694FA4" w:rsidP="00694FA4">
      <w:pPr>
        <w:pStyle w:val="Opsomtekens"/>
        <w:numPr>
          <w:ilvl w:val="0"/>
          <w:numId w:val="0"/>
        </w:numPr>
        <w:ind w:left="357" w:hanging="357"/>
        <w:sectPr w:rsidR="00694FA4" w:rsidRPr="00103D28" w:rsidSect="00C96A5A">
          <w:footerReference w:type="default" r:id="rId21"/>
          <w:pgSz w:w="11906" w:h="16838"/>
          <w:pgMar w:top="1417" w:right="1417" w:bottom="1417" w:left="1417" w:header="708" w:footer="708" w:gutter="0"/>
          <w:cols w:space="708"/>
          <w:docGrid w:linePitch="360"/>
        </w:sectPr>
      </w:pPr>
      <w:r w:rsidRPr="00161958">
        <w:t xml:space="preserve">Bijlage in </w:t>
      </w:r>
      <w:proofErr w:type="spellStart"/>
      <w:r w:rsidRPr="00161958">
        <w:t>Ibabs</w:t>
      </w:r>
      <w:proofErr w:type="spellEnd"/>
      <w:r w:rsidRPr="00161958">
        <w:t>: Brief Bestuur Waterschap Limburg Directierapportage 4</w:t>
      </w:r>
      <w:r w:rsidRPr="00161958">
        <w:rPr>
          <w:vertAlign w:val="superscript"/>
        </w:rPr>
        <w:t>e</w:t>
      </w:r>
      <w:r w:rsidRPr="00161958">
        <w:t xml:space="preserve"> kwartaal</w:t>
      </w:r>
      <w:r w:rsidRPr="00B17DC3">
        <w:rPr>
          <w:highlight w:val="yellow"/>
        </w:rPr>
        <w:t xml:space="preserve"> </w:t>
      </w:r>
      <w:r>
        <w:rPr>
          <w:highlight w:val="yellow"/>
        </w:rPr>
        <w:t xml:space="preserve"> </w:t>
      </w:r>
    </w:p>
    <w:p w14:paraId="695804C4" w14:textId="77777777" w:rsidR="00694FA4" w:rsidRPr="00B00F88" w:rsidRDefault="00694FA4" w:rsidP="00694FA4">
      <w:pPr>
        <w:pStyle w:val="Opsomtekens"/>
        <w:numPr>
          <w:ilvl w:val="0"/>
          <w:numId w:val="0"/>
        </w:numPr>
        <w:ind w:left="357" w:hanging="357"/>
      </w:pPr>
      <w:r w:rsidRPr="00B00F88">
        <w:rPr>
          <w:b/>
          <w:bCs/>
        </w:rPr>
        <w:lastRenderedPageBreak/>
        <w:t>Bijlage 1:</w:t>
      </w:r>
      <w:r w:rsidRPr="00B00F88">
        <w:t xml:space="preserve"> Schematische weergave van de relatie tussen Bevoegd gezag en WBL</w:t>
      </w:r>
    </w:p>
    <w:p w14:paraId="70BBD26E" w14:textId="77777777" w:rsidR="00694FA4" w:rsidRPr="00B17DC3" w:rsidRDefault="00694FA4" w:rsidP="00694FA4">
      <w:pPr>
        <w:spacing w:after="0" w:line="264" w:lineRule="auto"/>
        <w:jc w:val="both"/>
        <w:rPr>
          <w:highlight w:val="yellow"/>
        </w:rPr>
      </w:pPr>
    </w:p>
    <w:p w14:paraId="7084B022" w14:textId="77777777" w:rsidR="00694FA4" w:rsidRPr="00B17DC3" w:rsidRDefault="00694FA4" w:rsidP="00694FA4">
      <w:pPr>
        <w:spacing w:after="0" w:line="264" w:lineRule="auto"/>
        <w:jc w:val="both"/>
        <w:rPr>
          <w:highlight w:val="yellow"/>
        </w:rPr>
      </w:pPr>
    </w:p>
    <w:p w14:paraId="2D65F107" w14:textId="77777777" w:rsidR="00694FA4" w:rsidRPr="00B17DC3" w:rsidRDefault="00694FA4" w:rsidP="00694FA4">
      <w:pPr>
        <w:spacing w:after="0" w:line="264" w:lineRule="auto"/>
        <w:jc w:val="both"/>
        <w:rPr>
          <w:highlight w:val="yellow"/>
        </w:rPr>
      </w:pPr>
      <w:r w:rsidRPr="00B00F88">
        <w:rPr>
          <w:noProof/>
        </w:rPr>
        <w:drawing>
          <wp:inline distT="0" distB="0" distL="0" distR="0" wp14:anchorId="28B3044C" wp14:editId="76B89738">
            <wp:extent cx="9409493" cy="4535424"/>
            <wp:effectExtent l="0" t="0" r="1270" b="0"/>
            <wp:docPr id="1" name="Afbeelding 1"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diagram, Lettertype&#10;&#10;Automatisch gegenereerde beschrijving"/>
                    <pic:cNvPicPr/>
                  </pic:nvPicPr>
                  <pic:blipFill>
                    <a:blip r:embed="rId22"/>
                    <a:stretch>
                      <a:fillRect/>
                    </a:stretch>
                  </pic:blipFill>
                  <pic:spPr>
                    <a:xfrm>
                      <a:off x="0" y="0"/>
                      <a:ext cx="9418188" cy="4539615"/>
                    </a:xfrm>
                    <a:prstGeom prst="rect">
                      <a:avLst/>
                    </a:prstGeom>
                  </pic:spPr>
                </pic:pic>
              </a:graphicData>
            </a:graphic>
          </wp:inline>
        </w:drawing>
      </w:r>
    </w:p>
    <w:p w14:paraId="3ADC69F1" w14:textId="77777777" w:rsidR="00694FA4" w:rsidRPr="00B17DC3" w:rsidRDefault="00694FA4" w:rsidP="00694FA4">
      <w:pPr>
        <w:spacing w:after="0" w:line="264" w:lineRule="auto"/>
        <w:jc w:val="both"/>
        <w:rPr>
          <w:highlight w:val="yellow"/>
        </w:rPr>
        <w:sectPr w:rsidR="00694FA4" w:rsidRPr="00B17DC3" w:rsidSect="00C96A5A">
          <w:pgSz w:w="16838" w:h="11906" w:orient="landscape"/>
          <w:pgMar w:top="1417" w:right="1417" w:bottom="1417" w:left="1417" w:header="708" w:footer="708" w:gutter="0"/>
          <w:cols w:space="708"/>
          <w:docGrid w:linePitch="360"/>
        </w:sectPr>
      </w:pPr>
    </w:p>
    <w:p w14:paraId="34D91892" w14:textId="77777777" w:rsidR="00694FA4" w:rsidRDefault="00694FA4" w:rsidP="00694FA4">
      <w:pPr>
        <w:pStyle w:val="Opsomtekens"/>
        <w:numPr>
          <w:ilvl w:val="0"/>
          <w:numId w:val="0"/>
        </w:numPr>
        <w:rPr>
          <w:b/>
        </w:rPr>
      </w:pPr>
      <w:r w:rsidRPr="000C4ABE">
        <w:rPr>
          <w:b/>
        </w:rPr>
        <w:lastRenderedPageBreak/>
        <w:t>Bijlage 2: Dashboard Directierapportage 4</w:t>
      </w:r>
      <w:r w:rsidRPr="000C4ABE">
        <w:rPr>
          <w:b/>
          <w:vertAlign w:val="superscript"/>
        </w:rPr>
        <w:t>e</w:t>
      </w:r>
      <w:r w:rsidRPr="000C4ABE">
        <w:rPr>
          <w:b/>
        </w:rPr>
        <w:t xml:space="preserve"> kwartaal 2023</w:t>
      </w:r>
    </w:p>
    <w:p w14:paraId="07906099" w14:textId="77777777" w:rsidR="00694FA4" w:rsidRPr="000C4ABE" w:rsidRDefault="00694FA4" w:rsidP="00694FA4">
      <w:pPr>
        <w:pStyle w:val="Opsomtekens"/>
        <w:numPr>
          <w:ilvl w:val="0"/>
          <w:numId w:val="0"/>
        </w:numPr>
        <w:rPr>
          <w:b/>
        </w:rPr>
      </w:pPr>
    </w:p>
    <w:p w14:paraId="48D692F7" w14:textId="77777777" w:rsidR="00694FA4" w:rsidRPr="000C4ABE" w:rsidRDefault="00694FA4" w:rsidP="00694FA4">
      <w:pPr>
        <w:spacing w:after="0" w:line="264" w:lineRule="auto"/>
        <w:jc w:val="both"/>
      </w:pPr>
    </w:p>
    <w:p w14:paraId="6AD0EF36" w14:textId="77777777" w:rsidR="00694FA4" w:rsidRPr="000C4ABE" w:rsidRDefault="00694FA4" w:rsidP="00694FA4">
      <w:pPr>
        <w:spacing w:after="0" w:line="264" w:lineRule="auto"/>
        <w:jc w:val="both"/>
      </w:pPr>
      <w:r w:rsidRPr="00FF1C7F">
        <w:rPr>
          <w:noProof/>
        </w:rPr>
        <w:drawing>
          <wp:inline distT="0" distB="0" distL="0" distR="0" wp14:anchorId="228E47B7" wp14:editId="4762016F">
            <wp:extent cx="5760720" cy="6407150"/>
            <wp:effectExtent l="0" t="0" r="0" b="0"/>
            <wp:docPr id="7586985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407150"/>
                    </a:xfrm>
                    <a:prstGeom prst="rect">
                      <a:avLst/>
                    </a:prstGeom>
                    <a:noFill/>
                    <a:ln>
                      <a:noFill/>
                    </a:ln>
                  </pic:spPr>
                </pic:pic>
              </a:graphicData>
            </a:graphic>
          </wp:inline>
        </w:drawing>
      </w:r>
    </w:p>
    <w:p w14:paraId="6C75D084" w14:textId="77777777" w:rsidR="00694FA4" w:rsidRPr="000C4ABE" w:rsidRDefault="00694FA4" w:rsidP="00694FA4">
      <w:pPr>
        <w:spacing w:after="0" w:line="264" w:lineRule="auto"/>
        <w:jc w:val="both"/>
      </w:pPr>
    </w:p>
    <w:p w14:paraId="7ECD595A" w14:textId="77777777" w:rsidR="00694FA4" w:rsidRPr="000C4ABE" w:rsidRDefault="00694FA4" w:rsidP="00694FA4">
      <w:pPr>
        <w:spacing w:after="0" w:line="264" w:lineRule="auto"/>
        <w:jc w:val="both"/>
      </w:pPr>
    </w:p>
    <w:p w14:paraId="26E9C636" w14:textId="77777777" w:rsidR="00694FA4" w:rsidRPr="000C4ABE" w:rsidRDefault="00694FA4" w:rsidP="00694FA4">
      <w:pPr>
        <w:spacing w:after="0" w:line="264" w:lineRule="auto"/>
        <w:jc w:val="both"/>
      </w:pPr>
    </w:p>
    <w:p w14:paraId="7165CA79" w14:textId="77777777" w:rsidR="00694FA4" w:rsidRPr="00B17DC3" w:rsidRDefault="00694FA4" w:rsidP="00694FA4">
      <w:pPr>
        <w:spacing w:after="0" w:line="264" w:lineRule="auto"/>
        <w:jc w:val="both"/>
        <w:rPr>
          <w:highlight w:val="yellow"/>
        </w:rPr>
        <w:sectPr w:rsidR="00694FA4" w:rsidRPr="00B17DC3" w:rsidSect="00C96A5A">
          <w:pgSz w:w="11906" w:h="16838"/>
          <w:pgMar w:top="1417" w:right="1417" w:bottom="1417" w:left="1417" w:header="708" w:footer="708" w:gutter="0"/>
          <w:cols w:space="708"/>
          <w:docGrid w:linePitch="360"/>
        </w:sectPr>
      </w:pPr>
    </w:p>
    <w:p w14:paraId="69158163" w14:textId="77777777" w:rsidR="00694FA4" w:rsidRPr="00B17DC3" w:rsidRDefault="00694FA4" w:rsidP="00694FA4">
      <w:pPr>
        <w:spacing w:line="240" w:lineRule="auto"/>
        <w:rPr>
          <w:highlight w:val="yellow"/>
        </w:rPr>
      </w:pPr>
      <w:r w:rsidRPr="00A03CAF">
        <w:rPr>
          <w:noProof/>
        </w:rPr>
        <w:lastRenderedPageBreak/>
        <w:drawing>
          <wp:inline distT="0" distB="0" distL="0" distR="0" wp14:anchorId="15DDE3E2" wp14:editId="7C7BFF6F">
            <wp:extent cx="8892540" cy="2209165"/>
            <wp:effectExtent l="0" t="0" r="3810" b="635"/>
            <wp:docPr id="168814090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2540" cy="2209165"/>
                    </a:xfrm>
                    <a:prstGeom prst="rect">
                      <a:avLst/>
                    </a:prstGeom>
                    <a:noFill/>
                    <a:ln>
                      <a:noFill/>
                    </a:ln>
                  </pic:spPr>
                </pic:pic>
              </a:graphicData>
            </a:graphic>
          </wp:inline>
        </w:drawing>
      </w:r>
    </w:p>
    <w:p w14:paraId="79118F80" w14:textId="77777777" w:rsidR="00694FA4" w:rsidRPr="00B17DC3" w:rsidRDefault="00694FA4" w:rsidP="00694FA4">
      <w:pPr>
        <w:spacing w:line="240" w:lineRule="auto"/>
        <w:rPr>
          <w:highlight w:val="yellow"/>
        </w:rPr>
      </w:pPr>
    </w:p>
    <w:p w14:paraId="31BB07DA" w14:textId="77777777" w:rsidR="00694FA4" w:rsidRPr="00B17DC3" w:rsidRDefault="00694FA4" w:rsidP="00694FA4">
      <w:pPr>
        <w:spacing w:line="240" w:lineRule="auto"/>
        <w:rPr>
          <w:highlight w:val="yellow"/>
        </w:rPr>
      </w:pPr>
    </w:p>
    <w:p w14:paraId="6F2914D4" w14:textId="77777777" w:rsidR="00694FA4" w:rsidRPr="00B17DC3" w:rsidRDefault="00694FA4" w:rsidP="00694FA4">
      <w:pPr>
        <w:spacing w:line="240" w:lineRule="auto"/>
        <w:rPr>
          <w:highlight w:val="yellow"/>
        </w:rPr>
      </w:pPr>
    </w:p>
    <w:p w14:paraId="1610F2AB" w14:textId="77777777" w:rsidR="00694FA4" w:rsidRPr="00B17DC3" w:rsidRDefault="00694FA4" w:rsidP="00694FA4">
      <w:pPr>
        <w:spacing w:line="240" w:lineRule="auto"/>
        <w:rPr>
          <w:highlight w:val="yellow"/>
        </w:rPr>
      </w:pPr>
    </w:p>
    <w:p w14:paraId="233A4218" w14:textId="77777777" w:rsidR="00694FA4" w:rsidRPr="00B17DC3" w:rsidRDefault="00694FA4" w:rsidP="00694FA4">
      <w:pPr>
        <w:spacing w:line="240" w:lineRule="auto"/>
        <w:rPr>
          <w:highlight w:val="yellow"/>
        </w:rPr>
      </w:pPr>
    </w:p>
    <w:p w14:paraId="0D06607F" w14:textId="77777777" w:rsidR="00694FA4" w:rsidRPr="00B17DC3" w:rsidRDefault="00694FA4" w:rsidP="00694FA4">
      <w:pPr>
        <w:spacing w:line="240" w:lineRule="auto"/>
        <w:rPr>
          <w:highlight w:val="yellow"/>
        </w:rPr>
      </w:pPr>
    </w:p>
    <w:p w14:paraId="48B0B071" w14:textId="77777777" w:rsidR="00694FA4" w:rsidRPr="00B17DC3" w:rsidRDefault="00694FA4" w:rsidP="00694FA4">
      <w:pPr>
        <w:spacing w:line="240" w:lineRule="auto"/>
        <w:rPr>
          <w:highlight w:val="yellow"/>
        </w:rPr>
      </w:pPr>
    </w:p>
    <w:p w14:paraId="3D6DC3C1" w14:textId="77777777" w:rsidR="00694FA4" w:rsidRPr="00B17DC3" w:rsidRDefault="00694FA4" w:rsidP="00694FA4">
      <w:pPr>
        <w:spacing w:line="240" w:lineRule="auto"/>
        <w:rPr>
          <w:highlight w:val="yellow"/>
        </w:rPr>
      </w:pPr>
    </w:p>
    <w:p w14:paraId="36FBA1C0" w14:textId="77777777" w:rsidR="00694FA4" w:rsidRPr="00B17DC3" w:rsidRDefault="00694FA4" w:rsidP="00694FA4">
      <w:pPr>
        <w:spacing w:line="240" w:lineRule="auto"/>
        <w:rPr>
          <w:highlight w:val="yellow"/>
        </w:rPr>
      </w:pPr>
    </w:p>
    <w:p w14:paraId="6E790608" w14:textId="77777777" w:rsidR="00694FA4" w:rsidRPr="00B17DC3" w:rsidRDefault="00694FA4" w:rsidP="00694FA4">
      <w:pPr>
        <w:spacing w:line="240" w:lineRule="auto"/>
        <w:rPr>
          <w:highlight w:val="yellow"/>
        </w:rPr>
      </w:pPr>
    </w:p>
    <w:p w14:paraId="33E96575" w14:textId="77777777" w:rsidR="00694FA4" w:rsidRPr="00B17DC3" w:rsidRDefault="00694FA4" w:rsidP="00694FA4">
      <w:pPr>
        <w:spacing w:line="240" w:lineRule="auto"/>
        <w:rPr>
          <w:highlight w:val="yellow"/>
        </w:rPr>
      </w:pPr>
    </w:p>
    <w:p w14:paraId="1BE5F96C" w14:textId="77777777" w:rsidR="00694FA4" w:rsidRPr="00B17DC3" w:rsidRDefault="00694FA4" w:rsidP="00694FA4">
      <w:pPr>
        <w:spacing w:line="240" w:lineRule="auto"/>
        <w:rPr>
          <w:highlight w:val="yellow"/>
        </w:rPr>
      </w:pPr>
      <w:r w:rsidRPr="004F5770">
        <w:rPr>
          <w:noProof/>
        </w:rPr>
        <w:lastRenderedPageBreak/>
        <w:drawing>
          <wp:inline distT="0" distB="0" distL="0" distR="0" wp14:anchorId="3C033737" wp14:editId="626A166A">
            <wp:extent cx="8892540" cy="3467735"/>
            <wp:effectExtent l="0" t="0" r="3810" b="0"/>
            <wp:docPr id="34791584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2540" cy="3467735"/>
                    </a:xfrm>
                    <a:prstGeom prst="rect">
                      <a:avLst/>
                    </a:prstGeom>
                    <a:noFill/>
                    <a:ln>
                      <a:noFill/>
                    </a:ln>
                  </pic:spPr>
                </pic:pic>
              </a:graphicData>
            </a:graphic>
          </wp:inline>
        </w:drawing>
      </w:r>
    </w:p>
    <w:p w14:paraId="609E5563" w14:textId="77777777" w:rsidR="00694FA4" w:rsidRPr="00B17DC3" w:rsidRDefault="00694FA4" w:rsidP="00694FA4">
      <w:pPr>
        <w:spacing w:line="240" w:lineRule="auto"/>
        <w:rPr>
          <w:highlight w:val="yellow"/>
        </w:rPr>
      </w:pPr>
    </w:p>
    <w:p w14:paraId="353E96CD" w14:textId="77777777" w:rsidR="00694FA4" w:rsidRPr="00B17DC3" w:rsidRDefault="00694FA4" w:rsidP="00694FA4">
      <w:pPr>
        <w:spacing w:line="240" w:lineRule="auto"/>
        <w:rPr>
          <w:highlight w:val="yellow"/>
        </w:rPr>
      </w:pPr>
      <w:r w:rsidRPr="00E26031">
        <w:rPr>
          <w:noProof/>
        </w:rPr>
        <w:lastRenderedPageBreak/>
        <w:drawing>
          <wp:inline distT="0" distB="0" distL="0" distR="0" wp14:anchorId="1AEACDC1" wp14:editId="3CE43882">
            <wp:extent cx="8892540" cy="4834255"/>
            <wp:effectExtent l="0" t="0" r="3810" b="4445"/>
            <wp:docPr id="19093030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2540" cy="4834255"/>
                    </a:xfrm>
                    <a:prstGeom prst="rect">
                      <a:avLst/>
                    </a:prstGeom>
                    <a:noFill/>
                    <a:ln>
                      <a:noFill/>
                    </a:ln>
                  </pic:spPr>
                </pic:pic>
              </a:graphicData>
            </a:graphic>
          </wp:inline>
        </w:drawing>
      </w:r>
    </w:p>
    <w:p w14:paraId="3D2BF62A" w14:textId="77777777" w:rsidR="00694FA4" w:rsidRPr="00B17DC3" w:rsidRDefault="00694FA4" w:rsidP="00694FA4">
      <w:pPr>
        <w:spacing w:line="240" w:lineRule="auto"/>
        <w:rPr>
          <w:highlight w:val="yellow"/>
        </w:rPr>
      </w:pPr>
    </w:p>
    <w:p w14:paraId="5A8F6BDE" w14:textId="77777777" w:rsidR="00694FA4" w:rsidRPr="00B17DC3" w:rsidRDefault="00694FA4" w:rsidP="00694FA4">
      <w:pPr>
        <w:spacing w:line="240" w:lineRule="auto"/>
        <w:rPr>
          <w:highlight w:val="yellow"/>
        </w:rPr>
      </w:pPr>
      <w:r w:rsidRPr="004D799E">
        <w:rPr>
          <w:noProof/>
        </w:rPr>
        <w:lastRenderedPageBreak/>
        <w:drawing>
          <wp:inline distT="0" distB="0" distL="0" distR="0" wp14:anchorId="1A58B370" wp14:editId="57E88BDB">
            <wp:extent cx="8892540" cy="1905000"/>
            <wp:effectExtent l="0" t="0" r="3810" b="0"/>
            <wp:docPr id="204621796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2540" cy="1905000"/>
                    </a:xfrm>
                    <a:prstGeom prst="rect">
                      <a:avLst/>
                    </a:prstGeom>
                    <a:noFill/>
                    <a:ln>
                      <a:noFill/>
                    </a:ln>
                  </pic:spPr>
                </pic:pic>
              </a:graphicData>
            </a:graphic>
          </wp:inline>
        </w:drawing>
      </w:r>
    </w:p>
    <w:p w14:paraId="4B2A0FD8" w14:textId="77777777" w:rsidR="00694FA4" w:rsidRPr="00B17DC3" w:rsidRDefault="00694FA4" w:rsidP="00694FA4">
      <w:pPr>
        <w:spacing w:line="240" w:lineRule="auto"/>
        <w:rPr>
          <w:highlight w:val="yellow"/>
        </w:rPr>
      </w:pPr>
    </w:p>
    <w:p w14:paraId="27AEB666" w14:textId="77777777" w:rsidR="00694FA4" w:rsidRPr="00B17DC3" w:rsidRDefault="00694FA4" w:rsidP="00694FA4">
      <w:pPr>
        <w:spacing w:line="240" w:lineRule="auto"/>
        <w:rPr>
          <w:highlight w:val="yellow"/>
        </w:rPr>
      </w:pPr>
    </w:p>
    <w:p w14:paraId="7498343A" w14:textId="77777777" w:rsidR="00694FA4" w:rsidRPr="00B17DC3" w:rsidRDefault="00694FA4" w:rsidP="00694FA4">
      <w:pPr>
        <w:spacing w:line="240" w:lineRule="auto"/>
        <w:rPr>
          <w:highlight w:val="yellow"/>
        </w:rPr>
      </w:pPr>
      <w:r w:rsidRPr="000C2AF8">
        <w:rPr>
          <w:noProof/>
        </w:rPr>
        <w:lastRenderedPageBreak/>
        <w:drawing>
          <wp:inline distT="0" distB="0" distL="0" distR="0" wp14:anchorId="0F4A24EE" wp14:editId="2A77862B">
            <wp:extent cx="8858885" cy="5760720"/>
            <wp:effectExtent l="0" t="0" r="0" b="0"/>
            <wp:docPr id="101503370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58885" cy="5760720"/>
                    </a:xfrm>
                    <a:prstGeom prst="rect">
                      <a:avLst/>
                    </a:prstGeom>
                    <a:noFill/>
                    <a:ln>
                      <a:noFill/>
                    </a:ln>
                  </pic:spPr>
                </pic:pic>
              </a:graphicData>
            </a:graphic>
          </wp:inline>
        </w:drawing>
      </w:r>
    </w:p>
    <w:p w14:paraId="0E1898B9" w14:textId="77777777" w:rsidR="00694FA4" w:rsidRPr="00B17DC3" w:rsidRDefault="00694FA4" w:rsidP="00694FA4">
      <w:pPr>
        <w:spacing w:line="240" w:lineRule="auto"/>
        <w:rPr>
          <w:highlight w:val="yellow"/>
        </w:rPr>
      </w:pPr>
      <w:r w:rsidRPr="00000146">
        <w:rPr>
          <w:noProof/>
        </w:rPr>
        <w:lastRenderedPageBreak/>
        <w:drawing>
          <wp:inline distT="0" distB="0" distL="0" distR="0" wp14:anchorId="4662F2F1" wp14:editId="5D0EE0CA">
            <wp:extent cx="8892540" cy="4418965"/>
            <wp:effectExtent l="0" t="0" r="3810" b="635"/>
            <wp:docPr id="92823582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2540" cy="4418965"/>
                    </a:xfrm>
                    <a:prstGeom prst="rect">
                      <a:avLst/>
                    </a:prstGeom>
                    <a:noFill/>
                    <a:ln>
                      <a:noFill/>
                    </a:ln>
                  </pic:spPr>
                </pic:pic>
              </a:graphicData>
            </a:graphic>
          </wp:inline>
        </w:drawing>
      </w:r>
      <w:r w:rsidRPr="00B17DC3">
        <w:rPr>
          <w:highlight w:val="yellow"/>
        </w:rPr>
        <w:t xml:space="preserve"> </w:t>
      </w:r>
    </w:p>
    <w:p w14:paraId="60A7AA3A" w14:textId="77777777" w:rsidR="00694FA4" w:rsidRPr="00B17DC3" w:rsidRDefault="00694FA4" w:rsidP="00694FA4">
      <w:pPr>
        <w:spacing w:line="240" w:lineRule="auto"/>
        <w:rPr>
          <w:highlight w:val="yellow"/>
        </w:rPr>
      </w:pPr>
    </w:p>
    <w:p w14:paraId="1B3A55AE" w14:textId="77777777" w:rsidR="00694FA4" w:rsidRPr="00B17DC3" w:rsidRDefault="00694FA4" w:rsidP="00694FA4">
      <w:pPr>
        <w:spacing w:line="240" w:lineRule="auto"/>
        <w:rPr>
          <w:highlight w:val="yellow"/>
        </w:rPr>
        <w:sectPr w:rsidR="00694FA4" w:rsidRPr="00B17DC3" w:rsidSect="00C96A5A">
          <w:pgSz w:w="16838" w:h="11906" w:orient="landscape"/>
          <w:pgMar w:top="1417" w:right="1417" w:bottom="1417" w:left="1417" w:header="708" w:footer="708" w:gutter="0"/>
          <w:cols w:space="708"/>
          <w:docGrid w:linePitch="360"/>
        </w:sectPr>
      </w:pPr>
    </w:p>
    <w:p w14:paraId="27F5A930" w14:textId="77777777" w:rsidR="00694FA4" w:rsidRDefault="00694FA4" w:rsidP="00694FA4">
      <w:pPr>
        <w:spacing w:line="240" w:lineRule="auto"/>
      </w:pPr>
      <w:r w:rsidRPr="002F0625">
        <w:lastRenderedPageBreak/>
        <w:t>KRW Overzicht (4</w:t>
      </w:r>
      <w:r w:rsidRPr="002F0625">
        <w:rPr>
          <w:vertAlign w:val="superscript"/>
        </w:rPr>
        <w:t>e</w:t>
      </w:r>
      <w:r w:rsidRPr="002F0625">
        <w:t xml:space="preserve"> kwartaal 2023)</w:t>
      </w:r>
    </w:p>
    <w:p w14:paraId="16685A07" w14:textId="77777777" w:rsidR="00694FA4" w:rsidRPr="002F0625" w:rsidRDefault="00694FA4" w:rsidP="00694FA4">
      <w:pPr>
        <w:spacing w:line="240" w:lineRule="auto"/>
      </w:pPr>
      <w:r w:rsidRPr="00A00163">
        <w:rPr>
          <w:noProof/>
        </w:rPr>
        <w:drawing>
          <wp:inline distT="0" distB="0" distL="0" distR="0" wp14:anchorId="1ED28C09" wp14:editId="0E530944">
            <wp:extent cx="5760720" cy="7720965"/>
            <wp:effectExtent l="0" t="0" r="0" b="0"/>
            <wp:docPr id="12260116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7720965"/>
                    </a:xfrm>
                    <a:prstGeom prst="rect">
                      <a:avLst/>
                    </a:prstGeom>
                    <a:noFill/>
                    <a:ln>
                      <a:noFill/>
                    </a:ln>
                  </pic:spPr>
                </pic:pic>
              </a:graphicData>
            </a:graphic>
          </wp:inline>
        </w:drawing>
      </w:r>
    </w:p>
    <w:p w14:paraId="3C526BE0" w14:textId="77777777" w:rsidR="00694FA4" w:rsidRDefault="00694FA4" w:rsidP="00694FA4">
      <w:pPr>
        <w:spacing w:line="240" w:lineRule="auto"/>
      </w:pPr>
    </w:p>
    <w:p w14:paraId="41014618" w14:textId="77777777" w:rsidR="00694FA4" w:rsidRDefault="00694FA4" w:rsidP="00694FA4">
      <w:pPr>
        <w:spacing w:line="240" w:lineRule="auto"/>
      </w:pPr>
    </w:p>
    <w:p w14:paraId="68EAD8C3" w14:textId="77777777" w:rsidR="00694FA4" w:rsidRDefault="00694FA4" w:rsidP="00694FA4">
      <w:pPr>
        <w:spacing w:after="0" w:line="264" w:lineRule="auto"/>
        <w:jc w:val="both"/>
      </w:pPr>
    </w:p>
    <w:p w14:paraId="2D757D8E" w14:textId="77777777" w:rsidR="00101AAE" w:rsidRDefault="00101AAE" w:rsidP="00BF636A">
      <w:pPr>
        <w:spacing w:after="0" w:line="264" w:lineRule="auto"/>
        <w:jc w:val="both"/>
      </w:pPr>
    </w:p>
    <w:sectPr w:rsidR="00101AAE" w:rsidSect="00C96A5A">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49678" w14:textId="77777777" w:rsidR="00C96A5A" w:rsidRDefault="00C96A5A" w:rsidP="007D20F6">
      <w:pPr>
        <w:spacing w:after="0" w:line="240" w:lineRule="auto"/>
      </w:pPr>
      <w:r>
        <w:separator/>
      </w:r>
    </w:p>
  </w:endnote>
  <w:endnote w:type="continuationSeparator" w:id="0">
    <w:p w14:paraId="76B77EF2" w14:textId="77777777" w:rsidR="00C96A5A" w:rsidRDefault="00C96A5A" w:rsidP="007D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855415"/>
      <w:docPartObj>
        <w:docPartGallery w:val="Page Numbers (Bottom of Page)"/>
        <w:docPartUnique/>
      </w:docPartObj>
    </w:sdtPr>
    <w:sdtEndPr/>
    <w:sdtContent>
      <w:p w14:paraId="229740EF" w14:textId="77777777" w:rsidR="00694FA4" w:rsidRDefault="00694FA4">
        <w:pPr>
          <w:pStyle w:val="Voettekst"/>
          <w:jc w:val="center"/>
        </w:pPr>
        <w:r>
          <w:fldChar w:fldCharType="begin"/>
        </w:r>
        <w:r>
          <w:instrText>PAGE   \* MERGEFORMAT</w:instrText>
        </w:r>
        <w:r>
          <w:fldChar w:fldCharType="separate"/>
        </w:r>
        <w:r>
          <w:t>2</w:t>
        </w:r>
        <w:r>
          <w:fldChar w:fldCharType="end"/>
        </w:r>
      </w:p>
    </w:sdtContent>
  </w:sdt>
  <w:p w14:paraId="1FA2D264" w14:textId="77777777" w:rsidR="00694FA4" w:rsidRDefault="00694F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45365"/>
      <w:docPartObj>
        <w:docPartGallery w:val="Page Numbers (Bottom of Page)"/>
        <w:docPartUnique/>
      </w:docPartObj>
    </w:sdtPr>
    <w:sdtEndPr/>
    <w:sdtContent>
      <w:p w14:paraId="508BA24A" w14:textId="5B2DB014" w:rsidR="007D20F6" w:rsidRDefault="007D20F6">
        <w:pPr>
          <w:pStyle w:val="Voettekst"/>
          <w:jc w:val="center"/>
        </w:pPr>
        <w:r>
          <w:fldChar w:fldCharType="begin"/>
        </w:r>
        <w:r>
          <w:instrText>PAGE   \* MERGEFORMAT</w:instrText>
        </w:r>
        <w:r>
          <w:fldChar w:fldCharType="separate"/>
        </w:r>
        <w:r>
          <w:t>2</w:t>
        </w:r>
        <w:r>
          <w:fldChar w:fldCharType="end"/>
        </w:r>
      </w:p>
    </w:sdtContent>
  </w:sdt>
  <w:p w14:paraId="4E948B84" w14:textId="77777777" w:rsidR="007D20F6" w:rsidRDefault="007D2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275CD" w14:textId="77777777" w:rsidR="00C96A5A" w:rsidRDefault="00C96A5A" w:rsidP="007D20F6">
      <w:pPr>
        <w:spacing w:after="0" w:line="240" w:lineRule="auto"/>
      </w:pPr>
      <w:r>
        <w:separator/>
      </w:r>
    </w:p>
  </w:footnote>
  <w:footnote w:type="continuationSeparator" w:id="0">
    <w:p w14:paraId="56542392" w14:textId="77777777" w:rsidR="00C96A5A" w:rsidRDefault="00C96A5A" w:rsidP="007D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1B4E"/>
    <w:multiLevelType w:val="multilevel"/>
    <w:tmpl w:val="FA3C5216"/>
    <w:lvl w:ilvl="0">
      <w:start w:val="1"/>
      <w:numFmt w:val="bullet"/>
      <w:pStyle w:val="Opsomteken"/>
      <w:lvlText w:val=""/>
      <w:lvlJc w:val="left"/>
      <w:pPr>
        <w:tabs>
          <w:tab w:val="num" w:pos="1208"/>
        </w:tabs>
        <w:ind w:left="1208" w:hanging="357"/>
      </w:pPr>
      <w:rPr>
        <w:rFonts w:ascii="Symbol" w:hAnsi="Symbol" w:hint="default"/>
        <w:color w:val="00A9C1"/>
      </w:rPr>
    </w:lvl>
    <w:lvl w:ilvl="1">
      <w:start w:val="1"/>
      <w:numFmt w:val="bullet"/>
      <w:lvlText w:val=""/>
      <w:lvlJc w:val="left"/>
      <w:pPr>
        <w:tabs>
          <w:tab w:val="num" w:pos="1582"/>
        </w:tabs>
        <w:ind w:left="1582" w:hanging="374"/>
      </w:pPr>
      <w:rPr>
        <w:rFonts w:ascii="Symbol" w:hAnsi="Symbol" w:hint="default"/>
        <w:color w:val="00A9C1"/>
      </w:rPr>
    </w:lvl>
    <w:lvl w:ilvl="2">
      <w:start w:val="1"/>
      <w:numFmt w:val="bullet"/>
      <w:lvlText w:val=""/>
      <w:lvlJc w:val="left"/>
      <w:pPr>
        <w:tabs>
          <w:tab w:val="num" w:pos="1940"/>
        </w:tabs>
        <w:ind w:left="1940" w:hanging="375"/>
      </w:pPr>
      <w:rPr>
        <w:rFonts w:ascii="Wingdings" w:hAnsi="Wingdings" w:hint="default"/>
        <w:color w:val="00A9C1"/>
      </w:rPr>
    </w:lvl>
    <w:lvl w:ilvl="3">
      <w:start w:val="1"/>
      <w:numFmt w:val="bullet"/>
      <w:lvlText w:val=""/>
      <w:lvlJc w:val="left"/>
      <w:pPr>
        <w:tabs>
          <w:tab w:val="num" w:pos="2297"/>
        </w:tabs>
        <w:ind w:left="2297" w:hanging="357"/>
      </w:pPr>
      <w:rPr>
        <w:rFonts w:ascii="Symbol" w:hAnsi="Symbol" w:hint="default"/>
        <w:color w:val="00A9C1"/>
      </w:rPr>
    </w:lvl>
    <w:lvl w:ilvl="4">
      <w:start w:val="1"/>
      <w:numFmt w:val="bullet"/>
      <w:lvlText w:val="o"/>
      <w:lvlJc w:val="left"/>
      <w:pPr>
        <w:tabs>
          <w:tab w:val="num" w:pos="2654"/>
        </w:tabs>
        <w:ind w:left="2654" w:hanging="357"/>
      </w:pPr>
      <w:rPr>
        <w:rFonts w:ascii="Courier New" w:hAnsi="Courier New" w:hint="default"/>
        <w:color w:val="00A9C1"/>
      </w:rPr>
    </w:lvl>
    <w:lvl w:ilvl="5">
      <w:start w:val="1"/>
      <w:numFmt w:val="bullet"/>
      <w:lvlText w:val=""/>
      <w:lvlJc w:val="left"/>
      <w:pPr>
        <w:tabs>
          <w:tab w:val="num" w:pos="3011"/>
        </w:tabs>
        <w:ind w:left="3011" w:hanging="357"/>
      </w:pPr>
      <w:rPr>
        <w:rFonts w:ascii="Wingdings" w:hAnsi="Wingdings" w:hint="default"/>
        <w:color w:val="0C64F5"/>
      </w:rPr>
    </w:lvl>
    <w:lvl w:ilvl="6">
      <w:start w:val="1"/>
      <w:numFmt w:val="bullet"/>
      <w:lvlText w:val=""/>
      <w:lvlJc w:val="left"/>
      <w:pPr>
        <w:tabs>
          <w:tab w:val="num" w:pos="3368"/>
        </w:tabs>
        <w:ind w:left="3368" w:hanging="357"/>
      </w:pPr>
      <w:rPr>
        <w:rFonts w:ascii="Symbol" w:hAnsi="Symbol" w:hint="default"/>
        <w:color w:val="0C64F5"/>
      </w:rPr>
    </w:lvl>
    <w:lvl w:ilvl="7">
      <w:start w:val="1"/>
      <w:numFmt w:val="bullet"/>
      <w:lvlText w:val="o"/>
      <w:lvlJc w:val="left"/>
      <w:pPr>
        <w:tabs>
          <w:tab w:val="num" w:pos="3726"/>
        </w:tabs>
        <w:ind w:left="3726" w:hanging="358"/>
      </w:pPr>
      <w:rPr>
        <w:rFonts w:ascii="Courier New" w:hAnsi="Courier New" w:hint="default"/>
        <w:color w:val="0C64F5"/>
      </w:rPr>
    </w:lvl>
    <w:lvl w:ilvl="8">
      <w:start w:val="1"/>
      <w:numFmt w:val="bullet"/>
      <w:lvlText w:val=""/>
      <w:lvlJc w:val="left"/>
      <w:pPr>
        <w:tabs>
          <w:tab w:val="num" w:pos="4083"/>
        </w:tabs>
        <w:ind w:left="4083" w:hanging="357"/>
      </w:pPr>
      <w:rPr>
        <w:rFonts w:ascii="Wingdings" w:hAnsi="Wingdings" w:hint="default"/>
        <w:color w:val="0C64F5"/>
      </w:rPr>
    </w:lvl>
  </w:abstractNum>
  <w:abstractNum w:abstractNumId="1" w15:restartNumberingAfterBreak="0">
    <w:nsid w:val="04475593"/>
    <w:multiLevelType w:val="hybridMultilevel"/>
    <w:tmpl w:val="C6CAE0E6"/>
    <w:lvl w:ilvl="0" w:tplc="FEFCB35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264FE"/>
    <w:multiLevelType w:val="multilevel"/>
    <w:tmpl w:val="D3BA1084"/>
    <w:lvl w:ilvl="0">
      <w:start w:val="7"/>
      <w:numFmt w:val="bullet"/>
      <w:pStyle w:val="Opsomtekens"/>
      <w:lvlText w:val=""/>
      <w:lvlJc w:val="left"/>
      <w:pPr>
        <w:tabs>
          <w:tab w:val="num" w:pos="357"/>
        </w:tabs>
        <w:ind w:left="357" w:hanging="357"/>
      </w:pPr>
      <w:rPr>
        <w:rFonts w:ascii="Symbol" w:hAnsi="Symbol" w:hint="default"/>
        <w:color w:val="00A9C1"/>
      </w:rPr>
    </w:lvl>
    <w:lvl w:ilvl="1">
      <w:start w:val="1"/>
      <w:numFmt w:val="bullet"/>
      <w:lvlText w:val=""/>
      <w:lvlJc w:val="left"/>
      <w:pPr>
        <w:tabs>
          <w:tab w:val="num" w:pos="731"/>
        </w:tabs>
        <w:ind w:left="731" w:hanging="374"/>
      </w:pPr>
      <w:rPr>
        <w:rFonts w:ascii="Symbol" w:hAnsi="Symbol" w:hint="default"/>
        <w:color w:val="00A9C1"/>
      </w:rPr>
    </w:lvl>
    <w:lvl w:ilvl="2">
      <w:start w:val="1"/>
      <w:numFmt w:val="bullet"/>
      <w:lvlText w:val="•"/>
      <w:lvlJc w:val="left"/>
      <w:pPr>
        <w:tabs>
          <w:tab w:val="num" w:pos="1089"/>
        </w:tabs>
        <w:ind w:left="1089" w:hanging="358"/>
      </w:pPr>
      <w:rPr>
        <w:rFonts w:ascii="Century Gothic" w:hAnsi="Century Gothic" w:hint="default"/>
        <w:color w:val="00A9C1"/>
      </w:rPr>
    </w:lvl>
    <w:lvl w:ilvl="3">
      <w:start w:val="1"/>
      <w:numFmt w:val="bullet"/>
      <w:lvlText w:val="•"/>
      <w:lvlJc w:val="left"/>
      <w:pPr>
        <w:tabs>
          <w:tab w:val="num" w:pos="1446"/>
        </w:tabs>
        <w:ind w:left="1446" w:hanging="357"/>
      </w:pPr>
      <w:rPr>
        <w:rFonts w:ascii="Century Gothic" w:hAnsi="Century Gothic" w:hint="default"/>
        <w:color w:val="00A9C1"/>
      </w:rPr>
    </w:lvl>
    <w:lvl w:ilvl="4">
      <w:start w:val="1"/>
      <w:numFmt w:val="bullet"/>
      <w:lvlText w:val="•"/>
      <w:lvlJc w:val="left"/>
      <w:pPr>
        <w:tabs>
          <w:tab w:val="num" w:pos="1803"/>
        </w:tabs>
        <w:ind w:left="1803" w:hanging="357"/>
      </w:pPr>
      <w:rPr>
        <w:rFonts w:ascii="Century Gothic" w:hAnsi="Century Gothic" w:hint="default"/>
        <w:color w:val="00A9C1"/>
      </w:rPr>
    </w:lvl>
    <w:lvl w:ilvl="5">
      <w:start w:val="1"/>
      <w:numFmt w:val="bullet"/>
      <w:lvlText w:val="•"/>
      <w:lvlJc w:val="left"/>
      <w:pPr>
        <w:tabs>
          <w:tab w:val="num" w:pos="2160"/>
        </w:tabs>
        <w:ind w:left="2160" w:hanging="357"/>
      </w:pPr>
      <w:rPr>
        <w:rFonts w:ascii="Century Gothic" w:hAnsi="Century Gothic" w:hint="default"/>
        <w:color w:val="00A9C1"/>
      </w:rPr>
    </w:lvl>
    <w:lvl w:ilvl="6">
      <w:start w:val="1"/>
      <w:numFmt w:val="bullet"/>
      <w:lvlText w:val="•"/>
      <w:lvlJc w:val="left"/>
      <w:pPr>
        <w:tabs>
          <w:tab w:val="num" w:pos="2517"/>
        </w:tabs>
        <w:ind w:left="2517" w:hanging="357"/>
      </w:pPr>
      <w:rPr>
        <w:rFonts w:ascii="Century Gothic" w:hAnsi="Century Gothic" w:hint="default"/>
        <w:color w:val="00A9C1"/>
      </w:rPr>
    </w:lvl>
    <w:lvl w:ilvl="7">
      <w:start w:val="1"/>
      <w:numFmt w:val="bullet"/>
      <w:lvlText w:val="•"/>
      <w:lvlJc w:val="left"/>
      <w:pPr>
        <w:tabs>
          <w:tab w:val="num" w:pos="2875"/>
        </w:tabs>
        <w:ind w:left="2875" w:hanging="358"/>
      </w:pPr>
      <w:rPr>
        <w:rFonts w:ascii="Century Gothic" w:hAnsi="Century Gothic" w:hint="default"/>
        <w:color w:val="00A9C1"/>
      </w:rPr>
    </w:lvl>
    <w:lvl w:ilvl="8">
      <w:start w:val="1"/>
      <w:numFmt w:val="bullet"/>
      <w:lvlText w:val="•"/>
      <w:lvlJc w:val="left"/>
      <w:pPr>
        <w:tabs>
          <w:tab w:val="num" w:pos="3232"/>
        </w:tabs>
        <w:ind w:left="3232" w:hanging="357"/>
      </w:pPr>
      <w:rPr>
        <w:rFonts w:ascii="Century Gothic" w:hAnsi="Century Gothic" w:hint="default"/>
        <w:color w:val="00A9C1"/>
      </w:rPr>
    </w:lvl>
  </w:abstractNum>
  <w:abstractNum w:abstractNumId="3" w15:restartNumberingAfterBreak="0">
    <w:nsid w:val="19A86DE3"/>
    <w:multiLevelType w:val="multilevel"/>
    <w:tmpl w:val="D33401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D242536"/>
    <w:multiLevelType w:val="hybridMultilevel"/>
    <w:tmpl w:val="681C82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6B456B"/>
    <w:multiLevelType w:val="hybridMultilevel"/>
    <w:tmpl w:val="AE3CD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B77997"/>
    <w:multiLevelType w:val="hybridMultilevel"/>
    <w:tmpl w:val="E710E286"/>
    <w:lvl w:ilvl="0" w:tplc="B7B41BC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29297D"/>
    <w:multiLevelType w:val="hybridMultilevel"/>
    <w:tmpl w:val="F3B0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4F201E"/>
    <w:multiLevelType w:val="hybridMultilevel"/>
    <w:tmpl w:val="9B5231A6"/>
    <w:lvl w:ilvl="0" w:tplc="8C16C4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3440B"/>
    <w:multiLevelType w:val="hybridMultilevel"/>
    <w:tmpl w:val="E0281ECA"/>
    <w:lvl w:ilvl="0" w:tplc="0E321A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99110C"/>
    <w:multiLevelType w:val="hybridMultilevel"/>
    <w:tmpl w:val="4978DDF6"/>
    <w:lvl w:ilvl="0" w:tplc="93885B92">
      <w:start w:val="1"/>
      <w:numFmt w:val="decimal"/>
      <w:lvlText w:val="%1."/>
      <w:lvlJc w:val="left"/>
      <w:pPr>
        <w:ind w:left="720" w:hanging="360"/>
      </w:pPr>
      <w:rPr>
        <w:rFonts w:cs="Arial"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99771452">
    <w:abstractNumId w:val="7"/>
  </w:num>
  <w:num w:numId="2" w16cid:durableId="1737775698">
    <w:abstractNumId w:val="9"/>
  </w:num>
  <w:num w:numId="3" w16cid:durableId="1104495226">
    <w:abstractNumId w:val="8"/>
  </w:num>
  <w:num w:numId="4" w16cid:durableId="1516655971">
    <w:abstractNumId w:val="2"/>
  </w:num>
  <w:num w:numId="5" w16cid:durableId="1811092029">
    <w:abstractNumId w:val="3"/>
  </w:num>
  <w:num w:numId="6" w16cid:durableId="1655796659">
    <w:abstractNumId w:val="5"/>
  </w:num>
  <w:num w:numId="7" w16cid:durableId="1476223124">
    <w:abstractNumId w:val="6"/>
  </w:num>
  <w:num w:numId="8" w16cid:durableId="1801797962">
    <w:abstractNumId w:val="4"/>
  </w:num>
  <w:num w:numId="9" w16cid:durableId="1656882996">
    <w:abstractNumId w:val="1"/>
  </w:num>
  <w:num w:numId="10" w16cid:durableId="928317855">
    <w:abstractNumId w:val="10"/>
  </w:num>
  <w:num w:numId="11" w16cid:durableId="36224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F1"/>
    <w:rsid w:val="00004DBC"/>
    <w:rsid w:val="0004146A"/>
    <w:rsid w:val="0005346A"/>
    <w:rsid w:val="00101AAE"/>
    <w:rsid w:val="001314CA"/>
    <w:rsid w:val="00133F6B"/>
    <w:rsid w:val="00155336"/>
    <w:rsid w:val="00163D83"/>
    <w:rsid w:val="001A30C4"/>
    <w:rsid w:val="001B2FBE"/>
    <w:rsid w:val="001E19FC"/>
    <w:rsid w:val="00234C5F"/>
    <w:rsid w:val="00240D6B"/>
    <w:rsid w:val="00245A0F"/>
    <w:rsid w:val="00266EBC"/>
    <w:rsid w:val="002777FF"/>
    <w:rsid w:val="0028641B"/>
    <w:rsid w:val="002C4085"/>
    <w:rsid w:val="003056D6"/>
    <w:rsid w:val="00306222"/>
    <w:rsid w:val="00307227"/>
    <w:rsid w:val="003248B5"/>
    <w:rsid w:val="00343A23"/>
    <w:rsid w:val="00364A83"/>
    <w:rsid w:val="003669BA"/>
    <w:rsid w:val="003A64B1"/>
    <w:rsid w:val="003A6A82"/>
    <w:rsid w:val="003A7B0D"/>
    <w:rsid w:val="003E1AAF"/>
    <w:rsid w:val="004143DD"/>
    <w:rsid w:val="00456147"/>
    <w:rsid w:val="00477567"/>
    <w:rsid w:val="0048105F"/>
    <w:rsid w:val="00492351"/>
    <w:rsid w:val="004A310E"/>
    <w:rsid w:val="004D3164"/>
    <w:rsid w:val="004E7D4A"/>
    <w:rsid w:val="004F5260"/>
    <w:rsid w:val="005000CF"/>
    <w:rsid w:val="005220A7"/>
    <w:rsid w:val="00534577"/>
    <w:rsid w:val="00570108"/>
    <w:rsid w:val="00576013"/>
    <w:rsid w:val="005E338E"/>
    <w:rsid w:val="005F0AC9"/>
    <w:rsid w:val="00603789"/>
    <w:rsid w:val="00620923"/>
    <w:rsid w:val="00694FA4"/>
    <w:rsid w:val="00713D1C"/>
    <w:rsid w:val="007458AC"/>
    <w:rsid w:val="007D20F6"/>
    <w:rsid w:val="007F2187"/>
    <w:rsid w:val="00803D55"/>
    <w:rsid w:val="008828BB"/>
    <w:rsid w:val="008B4F4F"/>
    <w:rsid w:val="008C72F8"/>
    <w:rsid w:val="008F52BC"/>
    <w:rsid w:val="00902D19"/>
    <w:rsid w:val="0093714E"/>
    <w:rsid w:val="00943CC8"/>
    <w:rsid w:val="00945E85"/>
    <w:rsid w:val="009C7AEE"/>
    <w:rsid w:val="009D1B91"/>
    <w:rsid w:val="00A14662"/>
    <w:rsid w:val="00A43327"/>
    <w:rsid w:val="00A74333"/>
    <w:rsid w:val="00A82876"/>
    <w:rsid w:val="00A97430"/>
    <w:rsid w:val="00AA2FB6"/>
    <w:rsid w:val="00AB47C1"/>
    <w:rsid w:val="00AC7178"/>
    <w:rsid w:val="00B1258A"/>
    <w:rsid w:val="00B344A1"/>
    <w:rsid w:val="00B720F1"/>
    <w:rsid w:val="00B80D57"/>
    <w:rsid w:val="00B90C53"/>
    <w:rsid w:val="00BE72C0"/>
    <w:rsid w:val="00BF0F0E"/>
    <w:rsid w:val="00BF1AC2"/>
    <w:rsid w:val="00BF636A"/>
    <w:rsid w:val="00C04FC4"/>
    <w:rsid w:val="00C36EBE"/>
    <w:rsid w:val="00C4402D"/>
    <w:rsid w:val="00C64047"/>
    <w:rsid w:val="00C96A5A"/>
    <w:rsid w:val="00CC23B2"/>
    <w:rsid w:val="00CE0035"/>
    <w:rsid w:val="00CF25A8"/>
    <w:rsid w:val="00D05304"/>
    <w:rsid w:val="00D333EE"/>
    <w:rsid w:val="00D36031"/>
    <w:rsid w:val="00D37859"/>
    <w:rsid w:val="00D5685F"/>
    <w:rsid w:val="00D67769"/>
    <w:rsid w:val="00D71853"/>
    <w:rsid w:val="00D72A53"/>
    <w:rsid w:val="00D8111D"/>
    <w:rsid w:val="00D818F0"/>
    <w:rsid w:val="00DC5C9A"/>
    <w:rsid w:val="00DF1112"/>
    <w:rsid w:val="00DF57FC"/>
    <w:rsid w:val="00E06487"/>
    <w:rsid w:val="00E4366F"/>
    <w:rsid w:val="00E817C1"/>
    <w:rsid w:val="00E841EC"/>
    <w:rsid w:val="00EC7C91"/>
    <w:rsid w:val="00F21C91"/>
    <w:rsid w:val="00F510BB"/>
    <w:rsid w:val="00F674EF"/>
    <w:rsid w:val="00F761AD"/>
    <w:rsid w:val="00F779B7"/>
    <w:rsid w:val="00FA41EA"/>
    <w:rsid w:val="00FB034E"/>
    <w:rsid w:val="00FD46AA"/>
    <w:rsid w:val="00FF6AEA"/>
    <w:rsid w:val="084E7958"/>
    <w:rsid w:val="23EE59C9"/>
    <w:rsid w:val="524EF17D"/>
    <w:rsid w:val="5351341D"/>
    <w:rsid w:val="58A72BA5"/>
    <w:rsid w:val="5F1CA5B2"/>
    <w:rsid w:val="6DBC42A6"/>
    <w:rsid w:val="79B44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C2E"/>
  <w15:chartTrackingRefBased/>
  <w15:docId w15:val="{115E7109-9FA6-48A2-A963-E9DCAFC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F4F"/>
    <w:rPr>
      <w:rFonts w:ascii="Arial" w:hAnsi="Arial"/>
      <w:sz w:val="20"/>
    </w:rPr>
  </w:style>
  <w:style w:type="paragraph" w:styleId="Kop1">
    <w:name w:val="heading 1"/>
    <w:basedOn w:val="Standaard"/>
    <w:next w:val="Standaard"/>
    <w:link w:val="Kop1Char"/>
    <w:uiPriority w:val="9"/>
    <w:qFormat/>
    <w:rsid w:val="00AA2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0F0E"/>
    <w:rPr>
      <w:color w:val="808080"/>
    </w:rPr>
  </w:style>
  <w:style w:type="character" w:customStyle="1" w:styleId="Kop1Char">
    <w:name w:val="Kop 1 Char"/>
    <w:basedOn w:val="Standaardalinea-lettertype"/>
    <w:link w:val="Kop1"/>
    <w:uiPriority w:val="9"/>
    <w:rsid w:val="00AA2FB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8828BB"/>
    <w:rPr>
      <w:sz w:val="16"/>
      <w:szCs w:val="16"/>
    </w:rPr>
  </w:style>
  <w:style w:type="paragraph" w:styleId="Tekstopmerking">
    <w:name w:val="annotation text"/>
    <w:basedOn w:val="Standaard"/>
    <w:link w:val="TekstopmerkingChar"/>
    <w:uiPriority w:val="99"/>
    <w:unhideWhenUsed/>
    <w:rsid w:val="008828BB"/>
    <w:pPr>
      <w:spacing w:line="240" w:lineRule="auto"/>
    </w:pPr>
    <w:rPr>
      <w:szCs w:val="20"/>
    </w:rPr>
  </w:style>
  <w:style w:type="character" w:customStyle="1" w:styleId="TekstopmerkingChar">
    <w:name w:val="Tekst opmerking Char"/>
    <w:basedOn w:val="Standaardalinea-lettertype"/>
    <w:link w:val="Tekstopmerking"/>
    <w:uiPriority w:val="99"/>
    <w:rsid w:val="008828BB"/>
    <w:rPr>
      <w:sz w:val="20"/>
      <w:szCs w:val="20"/>
    </w:rPr>
  </w:style>
  <w:style w:type="paragraph" w:styleId="Onderwerpvanopmerking">
    <w:name w:val="annotation subject"/>
    <w:basedOn w:val="Tekstopmerking"/>
    <w:next w:val="Tekstopmerking"/>
    <w:link w:val="OnderwerpvanopmerkingChar"/>
    <w:uiPriority w:val="99"/>
    <w:semiHidden/>
    <w:unhideWhenUsed/>
    <w:rsid w:val="008828BB"/>
    <w:rPr>
      <w:b/>
      <w:bCs/>
    </w:rPr>
  </w:style>
  <w:style w:type="character" w:customStyle="1" w:styleId="OnderwerpvanopmerkingChar">
    <w:name w:val="Onderwerp van opmerking Char"/>
    <w:basedOn w:val="TekstopmerkingChar"/>
    <w:link w:val="Onderwerpvanopmerking"/>
    <w:uiPriority w:val="99"/>
    <w:semiHidden/>
    <w:rsid w:val="008828BB"/>
    <w:rPr>
      <w:b/>
      <w:bCs/>
      <w:sz w:val="20"/>
      <w:szCs w:val="20"/>
    </w:rPr>
  </w:style>
  <w:style w:type="paragraph" w:styleId="Lijstalinea">
    <w:name w:val="List Paragraph"/>
    <w:basedOn w:val="Standaard"/>
    <w:link w:val="LijstalineaChar"/>
    <w:uiPriority w:val="34"/>
    <w:qFormat/>
    <w:rsid w:val="004D3164"/>
    <w:pPr>
      <w:ind w:left="720"/>
      <w:contextualSpacing/>
    </w:pPr>
  </w:style>
  <w:style w:type="paragraph" w:styleId="Geenafstand">
    <w:name w:val="No Spacing"/>
    <w:uiPriority w:val="1"/>
    <w:qFormat/>
    <w:rsid w:val="00BF636A"/>
    <w:pPr>
      <w:spacing w:after="0" w:line="240" w:lineRule="auto"/>
    </w:pPr>
    <w:rPr>
      <w:rFonts w:ascii="Arial" w:hAnsi="Arial"/>
      <w:sz w:val="20"/>
    </w:rPr>
  </w:style>
  <w:style w:type="paragraph" w:styleId="Koptekst">
    <w:name w:val="header"/>
    <w:basedOn w:val="Standaard"/>
    <w:link w:val="KoptekstChar"/>
    <w:uiPriority w:val="99"/>
    <w:unhideWhenUsed/>
    <w:rsid w:val="007D2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0F6"/>
    <w:rPr>
      <w:rFonts w:ascii="Arial" w:hAnsi="Arial"/>
      <w:sz w:val="20"/>
    </w:rPr>
  </w:style>
  <w:style w:type="paragraph" w:styleId="Voettekst">
    <w:name w:val="footer"/>
    <w:basedOn w:val="Standaard"/>
    <w:link w:val="VoettekstChar"/>
    <w:uiPriority w:val="99"/>
    <w:unhideWhenUsed/>
    <w:rsid w:val="007D2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0F6"/>
    <w:rPr>
      <w:rFonts w:ascii="Arial" w:hAnsi="Arial"/>
      <w:sz w:val="20"/>
    </w:rPr>
  </w:style>
  <w:style w:type="paragraph" w:styleId="Revisie">
    <w:name w:val="Revision"/>
    <w:hidden/>
    <w:uiPriority w:val="99"/>
    <w:semiHidden/>
    <w:rsid w:val="00155336"/>
    <w:pPr>
      <w:spacing w:after="0" w:line="240" w:lineRule="auto"/>
    </w:pPr>
    <w:rPr>
      <w:rFonts w:ascii="Arial" w:hAnsi="Arial"/>
      <w:sz w:val="20"/>
    </w:rPr>
  </w:style>
  <w:style w:type="character" w:customStyle="1" w:styleId="LijstalineaChar">
    <w:name w:val="Lijstalinea Char"/>
    <w:basedOn w:val="Standaardalinea-lettertype"/>
    <w:link w:val="Lijstalinea"/>
    <w:uiPriority w:val="34"/>
    <w:rsid w:val="00694FA4"/>
    <w:rPr>
      <w:rFonts w:ascii="Arial" w:hAnsi="Arial"/>
      <w:sz w:val="20"/>
    </w:rPr>
  </w:style>
  <w:style w:type="paragraph" w:customStyle="1" w:styleId="Opsomtekens">
    <w:name w:val="Opsomtekens"/>
    <w:basedOn w:val="Standaard"/>
    <w:qFormat/>
    <w:rsid w:val="00694FA4"/>
    <w:pPr>
      <w:numPr>
        <w:numId w:val="4"/>
      </w:numPr>
      <w:spacing w:after="0" w:line="264" w:lineRule="auto"/>
    </w:pPr>
    <w:rPr>
      <w:rFonts w:eastAsia="MS Mincho" w:cs="Times New Roman"/>
      <w:szCs w:val="24"/>
      <w:lang w:eastAsia="nl-NL"/>
    </w:rPr>
  </w:style>
  <w:style w:type="paragraph" w:customStyle="1" w:styleId="inspringstandaard">
    <w:name w:val="inspring_standaard"/>
    <w:basedOn w:val="Standaard"/>
    <w:link w:val="inspringstandaardChar"/>
    <w:qFormat/>
    <w:rsid w:val="00694FA4"/>
    <w:pPr>
      <w:spacing w:after="0" w:line="276" w:lineRule="auto"/>
      <w:ind w:left="851"/>
    </w:pPr>
  </w:style>
  <w:style w:type="character" w:customStyle="1" w:styleId="inspringstandaardChar">
    <w:name w:val="inspring_standaard Char"/>
    <w:basedOn w:val="Standaardalinea-lettertype"/>
    <w:link w:val="inspringstandaard"/>
    <w:rsid w:val="00694FA4"/>
    <w:rPr>
      <w:rFonts w:ascii="Arial" w:hAnsi="Arial"/>
      <w:sz w:val="20"/>
    </w:rPr>
  </w:style>
  <w:style w:type="paragraph" w:customStyle="1" w:styleId="paragraph">
    <w:name w:val="paragraph"/>
    <w:basedOn w:val="Standaard"/>
    <w:rsid w:val="00694F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4FA4"/>
  </w:style>
  <w:style w:type="character" w:customStyle="1" w:styleId="eop">
    <w:name w:val="eop"/>
    <w:basedOn w:val="Standaardalinea-lettertype"/>
    <w:rsid w:val="00694FA4"/>
  </w:style>
  <w:style w:type="paragraph" w:customStyle="1" w:styleId="Opsomteken">
    <w:name w:val="Opsomteken"/>
    <w:basedOn w:val="Lijstalinea"/>
    <w:link w:val="OpsomtekenChar"/>
    <w:qFormat/>
    <w:rsid w:val="00694FA4"/>
    <w:pPr>
      <w:numPr>
        <w:numId w:val="11"/>
      </w:numPr>
      <w:spacing w:after="0" w:line="276" w:lineRule="auto"/>
    </w:pPr>
  </w:style>
  <w:style w:type="character" w:customStyle="1" w:styleId="OpsomtekenChar">
    <w:name w:val="Opsomteken Char"/>
    <w:basedOn w:val="LijstalineaChar"/>
    <w:link w:val="Opsomteken"/>
    <w:rsid w:val="00694FA4"/>
    <w:rPr>
      <w:rFonts w:ascii="Arial" w:hAnsi="Arial"/>
      <w:sz w:val="20"/>
    </w:rPr>
  </w:style>
  <w:style w:type="paragraph" w:customStyle="1" w:styleId="Default">
    <w:name w:val="Default"/>
    <w:rsid w:val="00694F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1E7610DA9A45279368F48039CCB5B6"/>
        <w:category>
          <w:name w:val="Algemeen"/>
          <w:gallery w:val="placeholder"/>
        </w:category>
        <w:types>
          <w:type w:val="bbPlcHdr"/>
        </w:types>
        <w:behaviors>
          <w:behavior w:val="content"/>
        </w:behaviors>
        <w:guid w:val="{1B251F8A-7BB3-43FE-A84F-B528A85E4B41}"/>
      </w:docPartPr>
      <w:docPartBody>
        <w:p w:rsidR="00DD2277" w:rsidRDefault="00DD2277" w:rsidP="00DD2277">
          <w:pPr>
            <w:pStyle w:val="D81E7610DA9A45279368F48039CCB5B6"/>
          </w:pPr>
          <w:r w:rsidRPr="00EA0110">
            <w:rPr>
              <w:rStyle w:val="Tekstvantijdelijkeaanduiding"/>
            </w:rPr>
            <w:t>Klik of tik om tekst in te voeren.</w:t>
          </w:r>
        </w:p>
      </w:docPartBody>
    </w:docPart>
    <w:docPart>
      <w:docPartPr>
        <w:name w:val="C475585EA5194050927BA3506BB2D053"/>
        <w:category>
          <w:name w:val="Algemeen"/>
          <w:gallery w:val="placeholder"/>
        </w:category>
        <w:types>
          <w:type w:val="bbPlcHdr"/>
        </w:types>
        <w:behaviors>
          <w:behavior w:val="content"/>
        </w:behaviors>
        <w:guid w:val="{41C395F2-155D-48F0-818C-09442C01C86E}"/>
      </w:docPartPr>
      <w:docPartBody>
        <w:p w:rsidR="00DD2277" w:rsidRDefault="00DD2277" w:rsidP="00DD2277">
          <w:pPr>
            <w:pStyle w:val="C475585EA5194050927BA3506BB2D053"/>
          </w:pPr>
          <w:r w:rsidRPr="00EA011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5"/>
    <w:rsid w:val="00053A6E"/>
    <w:rsid w:val="00125465"/>
    <w:rsid w:val="002615E8"/>
    <w:rsid w:val="00477567"/>
    <w:rsid w:val="004830B7"/>
    <w:rsid w:val="004B404F"/>
    <w:rsid w:val="00511975"/>
    <w:rsid w:val="005F3419"/>
    <w:rsid w:val="00AA7823"/>
    <w:rsid w:val="00B43F00"/>
    <w:rsid w:val="00CF25A9"/>
    <w:rsid w:val="00DD2277"/>
    <w:rsid w:val="00DE61A9"/>
    <w:rsid w:val="00E95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2277"/>
    <w:rPr>
      <w:color w:val="808080"/>
    </w:rPr>
  </w:style>
  <w:style w:type="paragraph" w:customStyle="1" w:styleId="D81E7610DA9A45279368F48039CCB5B6">
    <w:name w:val="D81E7610DA9A45279368F48039CCB5B6"/>
    <w:rsid w:val="00DD2277"/>
    <w:pPr>
      <w:spacing w:line="278" w:lineRule="auto"/>
    </w:pPr>
    <w:rPr>
      <w:kern w:val="2"/>
      <w:sz w:val="24"/>
      <w:szCs w:val="24"/>
      <w14:ligatures w14:val="standardContextual"/>
    </w:rPr>
  </w:style>
  <w:style w:type="paragraph" w:customStyle="1" w:styleId="C475585EA5194050927BA3506BB2D053">
    <w:name w:val="C475585EA5194050927BA3506BB2D053"/>
    <w:rsid w:val="00DD227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oorstel document" ma:contentTypeID="0x0101002F2AD73F3CCCB7428A8081B4ED383DD600229F679528DB5043AC4FB3A37774149B" ma:contentTypeVersion="49" ma:contentTypeDescription="" ma:contentTypeScope="" ma:versionID="bad4261fbc163d081b3571b1ee76c9ca">
  <xsd:schema xmlns:xsd="http://www.w3.org/2001/XMLSchema" xmlns:xs="http://www.w3.org/2001/XMLSchema" xmlns:p="http://schemas.microsoft.com/office/2006/metadata/properties" xmlns:ns2="d1af9b61-3dc3-49bc-b0ba-acedfa7a2480" xmlns:ns3="00a5ac0f-0492-40d6-95a9-b62cb6daa001" xmlns:ns4="b90e4d6d-094b-41b2-aec9-93017440e3ae" targetNamespace="http://schemas.microsoft.com/office/2006/metadata/properties" ma:root="true" ma:fieldsID="9445722b1986e8d6c35bcf23ce422091" ns2:_="" ns3:_="" ns4:_="">
    <xsd:import namespace="d1af9b61-3dc3-49bc-b0ba-acedfa7a2480"/>
    <xsd:import namespace="00a5ac0f-0492-40d6-95a9-b62cb6daa001"/>
    <xsd:import namespace="b90e4d6d-094b-41b2-aec9-93017440e3ae"/>
    <xsd:element name="properties">
      <xsd:complexType>
        <xsd:sequence>
          <xsd:element name="documentManagement">
            <xsd:complexType>
              <xsd:all>
                <xsd:element ref="ns2:Indiener" minOccurs="0"/>
                <xsd:element ref="ns2:Inhoudsdeskundige" minOccurs="0"/>
                <xsd:element ref="ns2:Concern_x0020_Controller" minOccurs="0"/>
                <xsd:element ref="ns2:Corncern_x0020_Adviseur" minOccurs="0"/>
                <xsd:element ref="ns2:Concern_x0020_Jurist" minOccurs="0"/>
                <xsd:element ref="ns2:Strategisch_x0020_Adviseur" minOccurs="0"/>
                <xsd:element ref="ns2:Sectordirecteur" minOccurs="0"/>
                <xsd:element ref="ns3:_dlc_DocIdUrl" minOccurs="0"/>
                <xsd:element ref="ns2:Opmerkingen_x0020_goedkeuring" minOccurs="0"/>
                <xsd:element ref="ns2:BedoeldVoorWelkOverleg" minOccurs="0"/>
                <xsd:element ref="ns4:Datumvanoverleg" minOccurs="0"/>
                <xsd:element ref="ns2:Aanbieden_x0020_aan_x0020_sectordirecteur" minOccurs="0"/>
                <xsd:element ref="ns2:Opnieuw_x0020_aanbieden_x0020_sectordirecteur" minOccurs="0"/>
                <xsd:element ref="ns2:Opnieuw_x0020_aanbieden" minOccurs="0"/>
                <xsd:element ref="ns2:Opnieuw_x0020_aanbieden_x0020_leidinggevende" minOccurs="0"/>
                <xsd:element ref="ns2:Aanbieden_x0020_ter_x0020_goedkeuring" minOccurs="0"/>
                <xsd:element ref="ns2:Aanbiedingsmail_x0020_sectordirecteur_x0020_verstuurd" minOccurs="0"/>
                <xsd:element ref="ns2:Leidinggevende_x0020_akkoord" minOccurs="0"/>
                <xsd:element ref="ns2:Aanbiedingsmail_x0020_leidinggevende_x0020_verstuurd" minOccurs="0"/>
                <xsd:element ref="ns2:Concern_x0020_Controller_x0020_Akkoord" minOccurs="0"/>
                <xsd:element ref="ns2:Concern_x0020_Jurist_x0020_Akkoord" minOccurs="0"/>
                <xsd:element ref="ns2:Concern_x0020_Adviseur_x0020_Akkoord" minOccurs="0"/>
                <xsd:element ref="ns2:Sectordirecteur_x0020_Akkoord" minOccurs="0"/>
                <xsd:element ref="ns2:Strategisch_x0020_Adviseur_x0020_Akkoord" minOccurs="0"/>
                <xsd:element ref="ns3:_dlc_DocIdPersistId" minOccurs="0"/>
                <xsd:element ref="ns3:_dlc_DocId" minOccurs="0"/>
                <xsd:element ref="ns2:Aanbiedingsmail_x0020_verstuurd" minOccurs="0"/>
                <xsd:element ref="ns4:_Flow_SignoffStatus" minOccurs="0"/>
                <xsd:element ref="ns2:Leidinggevende" minOccurs="0"/>
                <xsd:element ref="ns2:Aanbieden_x0020_aan_x0020_leidinggeve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9b61-3dc3-49bc-b0ba-acedfa7a2480" elementFormDefault="qualified">
    <xsd:import namespace="http://schemas.microsoft.com/office/2006/documentManagement/types"/>
    <xsd:import namespace="http://schemas.microsoft.com/office/infopath/2007/PartnerControls"/>
    <xsd:element name="Indiener" ma:index="1" nillable="true" ma:displayName="Indiener" ma:list="UserInfo" ma:SharePointGroup="0" ma:internalName="Indie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oudsdeskundige" ma:index="2" nillable="true" ma:displayName="Inhoudsdeskundige" ma:list="UserInfo" ma:SharePointGroup="0" ma:internalName="Inhoudsdeskundi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Controller" ma:index="3" nillable="true" ma:displayName="Concern Controller" ma:list="UserInfo" ma:SharePointGroup="0" ma:internalName="Concern_x0020_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ncern_x0020_Adviseur" ma:index="4" nillable="true" ma:displayName="Concern Adviseur" ma:list="UserInfo" ma:SharePointGroup="0" ma:internalName="Corncern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Jurist" ma:index="5" nillable="true" ma:displayName="Concern Jurist" ma:list="UserInfo" ma:SharePointGroup="0" ma:internalName="Concern_x0020_Jur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sch_x0020_Adviseur" ma:index="6" nillable="true" ma:displayName="Strategisch Adviseur" ma:list="UserInfo" ma:SharePointGroup="0" ma:internalName="Strategisch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directeur" ma:index="7" nillable="true" ma:displayName="Sectordirecteur" ma:list="UserInfo" ma:SharePointGroup="0" ma:internalName="Sectordirec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en_x0020_goedkeuring" ma:index="9" nillable="true" ma:displayName="Opmerkingen goedkeuring" ma:internalName="Opmerkingen_x0020_goedkeuring" ma:readOnly="false">
      <xsd:simpleType>
        <xsd:restriction base="dms:Note">
          <xsd:maxLength value="255"/>
        </xsd:restriction>
      </xsd:simpleType>
    </xsd:element>
    <xsd:element name="BedoeldVoorWelkOverleg" ma:index="10" nillable="true" ma:displayName="Bedoeld voor welk overleg" ma:description="Kies het overleg waar het stuk uiteindelijk moet landen. " ma:format="RadioButtons" ma:internalName="BedoeldVoorWelkOverleg" ma:readOnly="false">
      <xsd:simpleType>
        <xsd:restriction base="dms:Choice">
          <xsd:enumeration value="DT"/>
          <xsd:enumeration value="DB"/>
          <xsd:enumeration value="AB"/>
        </xsd:restriction>
      </xsd:simpleType>
    </xsd:element>
    <xsd:element name="Aanbieden_x0020_aan_x0020_sectordirecteur" ma:index="12" nillable="true" ma:displayName="Aanbieden aan sectordirecteur" ma:default="0" ma:description="Zorg dat het document is afgesloten." ma:hidden="true" ma:internalName="Aanbieden_x0020_aan_x0020_sectordirecteur" ma:readOnly="false">
      <xsd:simpleType>
        <xsd:restriction base="dms:Boolean"/>
      </xsd:simpleType>
    </xsd:element>
    <xsd:element name="Opnieuw_x0020_aanbieden_x0020_sectordirecteur" ma:index="13" nillable="true" ma:displayName="Opnieuw aanbieden sectordirecteur" ma:default="0" ma:description="Zorg dat het document is afgesloten." ma:hidden="true" ma:internalName="Opnieuw_x0020_aanbieden_x0020_sectordirecteur" ma:readOnly="false">
      <xsd:simpleType>
        <xsd:restriction base="dms:Boolean"/>
      </xsd:simpleType>
    </xsd:element>
    <xsd:element name="Opnieuw_x0020_aanbieden" ma:index="14" nillable="true" ma:displayName="Opnieuw aanbieden" ma:default="0" ma:description="Zorg dat het document is afgesloten." ma:hidden="true" ma:internalName="Opnieuw_x0020_aanbieden" ma:readOnly="false">
      <xsd:simpleType>
        <xsd:restriction base="dms:Boolean"/>
      </xsd:simpleType>
    </xsd:element>
    <xsd:element name="Opnieuw_x0020_aanbieden_x0020_leidinggevende" ma:index="15" nillable="true" ma:displayName="Opnieuw aanbieden leidinggevende" ma:default="0" ma:description="Zorg dat het document is afgesloten." ma:hidden="true" ma:internalName="Opnieuw_x0020_aanbieden_x0020_leidinggevende" ma:readOnly="false">
      <xsd:simpleType>
        <xsd:restriction base="dms:Boolean"/>
      </xsd:simpleType>
    </xsd:element>
    <xsd:element name="Aanbieden_x0020_ter_x0020_goedkeuring" ma:index="16" nillable="true" ma:displayName="Aanbieden ter goedkeuring" ma:default="0" ma:description="Zorg dat het document is afgesloten." ma:hidden="true" ma:internalName="Aanbieden_x0020_ter_x0020_goedkeuring" ma:readOnly="false">
      <xsd:simpleType>
        <xsd:restriction base="dms:Boolean"/>
      </xsd:simpleType>
    </xsd:element>
    <xsd:element name="Aanbiedingsmail_x0020_sectordirecteur_x0020_verstuurd" ma:index="17" nillable="true" ma:displayName="Aanbiedingsmail sectordirecteur verstuurd" ma:default="0" ma:hidden="true" ma:internalName="Aanbiedingsmail_x0020_sectordirecteur_x0020_verstuurd" ma:readOnly="false">
      <xsd:simpleType>
        <xsd:restriction base="dms:Boolean"/>
      </xsd:simpleType>
    </xsd:element>
    <xsd:element name="Leidinggevende_x0020_akkoord" ma:index="18" nillable="true" ma:displayName="Leidinggevende akkoord" ma:default="0" ma:hidden="true" ma:internalName="Leidinggevende_x0020_akkoord" ma:readOnly="false">
      <xsd:simpleType>
        <xsd:restriction base="dms:Boolean"/>
      </xsd:simpleType>
    </xsd:element>
    <xsd:element name="Aanbiedingsmail_x0020_leidinggevende_x0020_verstuurd" ma:index="19" nillable="true" ma:displayName="Aanbiedingsmail leidinggevende verstuurd" ma:default="0" ma:hidden="true" ma:internalName="Aanbiedingsmail_x0020_leidinggevende_x0020_verstuurd" ma:readOnly="false">
      <xsd:simpleType>
        <xsd:restriction base="dms:Boolean"/>
      </xsd:simpleType>
    </xsd:element>
    <xsd:element name="Concern_x0020_Controller_x0020_Akkoord" ma:index="20" nillable="true" ma:displayName="Concern Controller Akkoord" ma:default="0" ma:hidden="true" ma:internalName="Concern_x0020_Controller_x0020_Akkoord" ma:readOnly="false">
      <xsd:simpleType>
        <xsd:restriction base="dms:Boolean"/>
      </xsd:simpleType>
    </xsd:element>
    <xsd:element name="Concern_x0020_Jurist_x0020_Akkoord" ma:index="21" nillable="true" ma:displayName="Concern Jurist Akkoord" ma:default="0" ma:hidden="true" ma:internalName="Concern_x0020_Jurist_x0020_Akkoord" ma:readOnly="false">
      <xsd:simpleType>
        <xsd:restriction base="dms:Boolean"/>
      </xsd:simpleType>
    </xsd:element>
    <xsd:element name="Concern_x0020_Adviseur_x0020_Akkoord" ma:index="22" nillable="true" ma:displayName="Concern Adviseur Akkoord" ma:default="0" ma:hidden="true" ma:internalName="Concern_x0020_Adviseur_x0020_Akkoord" ma:readOnly="false">
      <xsd:simpleType>
        <xsd:restriction base="dms:Boolean"/>
      </xsd:simpleType>
    </xsd:element>
    <xsd:element name="Sectordirecteur_x0020_Akkoord" ma:index="23" nillable="true" ma:displayName="Sectordirecteur Akkoord" ma:default="0" ma:hidden="true" ma:internalName="Sectordirecteur_x0020_Akkoord" ma:readOnly="false">
      <xsd:simpleType>
        <xsd:restriction base="dms:Boolean"/>
      </xsd:simpleType>
    </xsd:element>
    <xsd:element name="Strategisch_x0020_Adviseur_x0020_Akkoord" ma:index="24" nillable="true" ma:displayName="Strategisch Adviseur Akkoord" ma:default="0" ma:hidden="true" ma:internalName="Strategisch_x0020_Adviseur_x0020_Akkoord" ma:readOnly="false">
      <xsd:simpleType>
        <xsd:restriction base="dms:Boolean"/>
      </xsd:simpleType>
    </xsd:element>
    <xsd:element name="Aanbiedingsmail_x0020_verstuurd" ma:index="29" nillable="true" ma:displayName="Aanbiedingsmail verstuurd" ma:default="0" ma:hidden="true" ma:internalName="Aanbiedingsmail_x0020_verstuurd" ma:readOnly="false">
      <xsd:simpleType>
        <xsd:restriction base="dms:Boolean"/>
      </xsd:simpleType>
    </xsd:element>
    <xsd:element name="Leidinggevende" ma:index="36" nillable="true" ma:displayName="Leidinggevende" ma:hidden="true" ma:list="UserInfo" ma:SharePointGroup="0" ma:internalName="Leidinggeven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bieden_x0020_aan_x0020_leidinggevende" ma:index="37" nillable="true" ma:displayName="Aanbieden aan leidinggevende" ma:default="0" ma:description="Zorg dat het document is afgesloten." ma:hidden="true" ma:internalName="Aanbieden_x0020_aan_x0020_leidinggevend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5ac0f-0492-40d6-95a9-b62cb6daa001" elementFormDefault="qualified">
    <xsd:import namespace="http://schemas.microsoft.com/office/2006/documentManagement/types"/>
    <xsd:import namespace="http://schemas.microsoft.com/office/infopath/2007/PartnerControls"/>
    <xsd:element name="_dlc_DocIdUrl" ma:index="8"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_dlc_DocId" ma:index="27" nillable="true" ma:displayName="Waarde van de document-id" ma:description="De waarde van de document-id die aan dit item is toegewezen."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4d6d-094b-41b2-aec9-93017440e3ae" elementFormDefault="qualified">
    <xsd:import namespace="http://schemas.microsoft.com/office/2006/documentManagement/types"/>
    <xsd:import namespace="http://schemas.microsoft.com/office/infopath/2007/PartnerControls"/>
    <xsd:element name="Datumvanoverleg" ma:index="11" nillable="true" ma:displayName="Datum van overleg" ma:description="Directiesecretariaat voegt deze datum toe als het stuk op de agenda staat. " ma:format="DateOnly" ma:internalName="Datumvanoverleg" ma:readOnly="false">
      <xsd:simpleType>
        <xsd:restriction base="dms:DateTime"/>
      </xsd:simpleType>
    </xsd:element>
    <xsd:element name="_Flow_SignoffStatus" ma:index="35" nillable="true" ma:displayName="Afmeldingsstatus" ma:hidden="true" ma:internalName="Afmeldings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cern_x0020_Controller xmlns="d1af9b61-3dc3-49bc-b0ba-acedfa7a2480">
      <UserInfo>
        <DisplayName>IJzendoorn-Kolenburg, Désirée van</DisplayName>
        <AccountId>46</AccountId>
        <AccountType/>
      </UserInfo>
    </Concern_x0020_Controller>
    <Aanbiedingsmail_x0020_verstuurd xmlns="d1af9b61-3dc3-49bc-b0ba-acedfa7a2480">false</Aanbiedingsmail_x0020_verstuurd>
    <Concern_x0020_Adviseur_x0020_Akkoord xmlns="d1af9b61-3dc3-49bc-b0ba-acedfa7a2480">false</Concern_x0020_Adviseur_x0020_Akkoord>
    <Sectordirecteur xmlns="d1af9b61-3dc3-49bc-b0ba-acedfa7a2480">
      <UserInfo>
        <DisplayName>Hendrix, Nicole</DisplayName>
        <AccountId>51</AccountId>
        <AccountType/>
      </UserInfo>
    </Sectordirecteur>
    <Concern_x0020_Controller_x0020_Akkoord xmlns="d1af9b61-3dc3-49bc-b0ba-acedfa7a2480">false</Concern_x0020_Controller_x0020_Akkoord>
    <Indiener xmlns="d1af9b61-3dc3-49bc-b0ba-acedfa7a2480">
      <UserInfo>
        <DisplayName>Wissem, Jean-Pierre van</DisplayName>
        <AccountId>164</AccountId>
        <AccountType/>
      </UserInfo>
    </Indiener>
    <Strategisch_x0020_Adviseur_x0020_Akkoord xmlns="d1af9b61-3dc3-49bc-b0ba-acedfa7a2480">false</Strategisch_x0020_Adviseur_x0020_Akkoord>
    <_dlc_DocIdPersistId xmlns="00a5ac0f-0492-40d6-95a9-b62cb6daa001" xsi:nil="true"/>
    <Leidinggevende xmlns="d1af9b61-3dc3-49bc-b0ba-acedfa7a2480">
      <UserInfo>
        <DisplayName/>
        <AccountId xsi:nil="true"/>
        <AccountType/>
      </UserInfo>
    </Leidinggevende>
    <Leidinggevende_x0020_akkoord xmlns="d1af9b61-3dc3-49bc-b0ba-acedfa7a2480">false</Leidinggevende_x0020_akkoord>
    <_dlc_DocId xmlns="00a5ac0f-0492-40d6-95a9-b62cb6daa001">WBL-1581137097-1724</_dlc_DocId>
    <Opnieuw_x0020_aanbieden_x0020_sectordirecteur xmlns="d1af9b61-3dc3-49bc-b0ba-acedfa7a2480">false</Opnieuw_x0020_aanbieden_x0020_sectordirecteur>
    <Aanbiedingsmail_x0020_sectordirecteur_x0020_verstuurd xmlns="d1af9b61-3dc3-49bc-b0ba-acedfa7a2480">false</Aanbiedingsmail_x0020_sectordirecteur_x0020_verstuurd>
    <Concern_x0020_Jurist xmlns="d1af9b61-3dc3-49bc-b0ba-acedfa7a2480">
      <UserInfo>
        <DisplayName>Janssen, Roger</DisplayName>
        <AccountId>49</AccountId>
        <AccountType/>
      </UserInfo>
    </Concern_x0020_Jurist>
    <Concern_x0020_Jurist_x0020_Akkoord xmlns="d1af9b61-3dc3-49bc-b0ba-acedfa7a2480">false</Concern_x0020_Jurist_x0020_Akkoord>
    <Aanbieden_x0020_ter_x0020_goedkeuring xmlns="d1af9b61-3dc3-49bc-b0ba-acedfa7a2480">false</Aanbieden_x0020_ter_x0020_goedkeuring>
    <Aanbieden_x0020_aan_x0020_leidinggevende xmlns="d1af9b61-3dc3-49bc-b0ba-acedfa7a2480">false</Aanbieden_x0020_aan_x0020_leidinggevende>
    <Opnieuw_x0020_aanbieden_x0020_leidinggevende xmlns="d1af9b61-3dc3-49bc-b0ba-acedfa7a2480">false</Opnieuw_x0020_aanbieden_x0020_leidinggevende>
    <Inhoudsdeskundige xmlns="d1af9b61-3dc3-49bc-b0ba-acedfa7a2480">
      <UserInfo>
        <DisplayName>Schoenmakers, Maurice</DisplayName>
        <AccountId>85</AccountId>
        <AccountType/>
      </UserInfo>
    </Inhoudsdeskundige>
    <Opnieuw_x0020_aanbieden xmlns="d1af9b61-3dc3-49bc-b0ba-acedfa7a2480">false</Opnieuw_x0020_aanbieden>
    <_dlc_DocIdUrl xmlns="00a5ac0f-0492-40d6-95a9-b62cb6daa001">
      <Url>https://wblnl.sharepoint.com/sites/DT/_layouts/15/DocIdRedir.aspx?ID=WBL-1581137097-1724</Url>
      <Description>WBL-1581137097-1724</Description>
    </_dlc_DocIdUrl>
    <Opmerkingen_x0020_goedkeuring xmlns="d1af9b61-3dc3-49bc-b0ba-acedfa7a2480" xsi:nil="true"/>
    <Aanbiedingsmail_x0020_leidinggevende_x0020_verstuurd xmlns="d1af9b61-3dc3-49bc-b0ba-acedfa7a2480">false</Aanbiedingsmail_x0020_leidinggevende_x0020_verstuurd>
    <Corncern_x0020_Adviseur xmlns="d1af9b61-3dc3-49bc-b0ba-acedfa7a2480">
      <UserInfo>
        <DisplayName>Janssen, Marcel</DisplayName>
        <AccountId>48</AccountId>
        <AccountType/>
      </UserInfo>
    </Corncern_x0020_Adviseur>
    <Strategisch_x0020_Adviseur xmlns="d1af9b61-3dc3-49bc-b0ba-acedfa7a2480">
      <UserInfo>
        <DisplayName>Janssen, Roger</DisplayName>
        <AccountId>49</AccountId>
        <AccountType/>
      </UserInfo>
    </Strategisch_x0020_Adviseur>
    <Sectordirecteur_x0020_Akkoord xmlns="d1af9b61-3dc3-49bc-b0ba-acedfa7a2480">false</Sectordirecteur_x0020_Akkoord>
    <Aanbieden_x0020_aan_x0020_sectordirecteur xmlns="d1af9b61-3dc3-49bc-b0ba-acedfa7a2480">false</Aanbieden_x0020_aan_x0020_sectordirecteur>
    <BedoeldVoorWelkOverleg xmlns="d1af9b61-3dc3-49bc-b0ba-acedfa7a2480">AB</BedoeldVoorWelkOverleg>
    <Datumvanoverleg xmlns="b90e4d6d-094b-41b2-aec9-93017440e3ae" xsi:nil="true"/>
    <_Flow_SignoffStatus xmlns="b90e4d6d-094b-41b2-aec9-93017440e3a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DDA8EE-F0C6-4B2F-97FB-8887FCA2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9b61-3dc3-49bc-b0ba-acedfa7a2480"/>
    <ds:schemaRef ds:uri="00a5ac0f-0492-40d6-95a9-b62cb6daa001"/>
    <ds:schemaRef ds:uri="b90e4d6d-094b-41b2-aec9-93017440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5BA8E-F02D-4193-A880-CC2EA6B4EF48}">
  <ds:schemaRefs>
    <ds:schemaRef ds:uri="http://schemas.microsoft.com/sharepoint/v3/contenttype/forms"/>
  </ds:schemaRefs>
</ds:datastoreItem>
</file>

<file path=customXml/itemProps3.xml><?xml version="1.0" encoding="utf-8"?>
<ds:datastoreItem xmlns:ds="http://schemas.openxmlformats.org/officeDocument/2006/customXml" ds:itemID="{83340396-EBD6-45E1-A4B2-02439C8DD734}">
  <ds:schemaRefs>
    <ds:schemaRef ds:uri="http://schemas.microsoft.com/office/2006/metadata/properties"/>
    <ds:schemaRef ds:uri="http://schemas.microsoft.com/office/infopath/2007/PartnerControls"/>
    <ds:schemaRef ds:uri="d1af9b61-3dc3-49bc-b0ba-acedfa7a2480"/>
    <ds:schemaRef ds:uri="00a5ac0f-0492-40d6-95a9-b62cb6daa001"/>
    <ds:schemaRef ds:uri="b90e4d6d-094b-41b2-aec9-93017440e3ae"/>
  </ds:schemaRefs>
</ds:datastoreItem>
</file>

<file path=customXml/itemProps4.xml><?xml version="1.0" encoding="utf-8"?>
<ds:datastoreItem xmlns:ds="http://schemas.openxmlformats.org/officeDocument/2006/customXml" ds:itemID="{453D9EF3-FE25-4E05-A0BB-A05AD403A7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4160</Words>
  <Characters>22885</Characters>
  <Application>Microsoft Office Word</Application>
  <DocSecurity>0</DocSecurity>
  <Lines>190</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18-01-2023</dc:title>
  <dc:subject/>
  <dc:creator>Jacobs, Geert</dc:creator>
  <cp:keywords/>
  <dc:description/>
  <cp:lastModifiedBy>Schurkens, Sandra</cp:lastModifiedBy>
  <cp:revision>5</cp:revision>
  <dcterms:created xsi:type="dcterms:W3CDTF">2024-03-18T14:58:00Z</dcterms:created>
  <dcterms:modified xsi:type="dcterms:W3CDTF">2024-04-08T10:44:00Z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0x0101002F2AD73F3CCCB7428A8081B4ED383DD600229F679528DB5043AC4FB3A37774149B</vt:lpwstr>
  </property>
  <property fmtid="{D5CDD505-2E9C-101B-9397-08002B2CF9AE}" pid="3" name="_dlc_DocIdItemGuid">
    <vt:lpwstr>967f0f5a-1c61-4e10-8f40-71bae4aab1d2</vt:lpwstr>
  </property>
  <property fmtid="{D5CDD505-2E9C-101B-9397-08002B2CF9AE}" pid="4" name="SharedWithUsers">
    <vt:lpwstr>64;#Hoven, Kevin van den;#511;#Hout, Frank van</vt:lpwstr>
  </property>
</Properties>
</file>